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905A" w14:textId="77777777" w:rsidR="00622062" w:rsidRDefault="007B15DF" w:rsidP="0062206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DB495E7" w14:textId="77777777" w:rsidR="00622062" w:rsidRDefault="00622062" w:rsidP="00622062">
      <w:pPr>
        <w:tabs>
          <w:tab w:val="left" w:pos="709"/>
          <w:tab w:val="left" w:pos="2835"/>
          <w:tab w:val="left" w:pos="6426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13"/>
          <w:szCs w:val="13"/>
        </w:rPr>
        <w:t>Kenmerk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3"/>
          <w:szCs w:val="13"/>
        </w:rPr>
        <w:t>Datum</w:t>
      </w:r>
      <w:r>
        <w:rPr>
          <w:rFonts w:ascii="Arial" w:hAnsi="Arial"/>
          <w:sz w:val="22"/>
        </w:rPr>
        <w:tab/>
      </w:r>
    </w:p>
    <w:p w14:paraId="53E78427" w14:textId="30DD34D3" w:rsidR="00622062" w:rsidRDefault="00AB77F7" w:rsidP="00622062">
      <w:pPr>
        <w:tabs>
          <w:tab w:val="left" w:pos="709"/>
          <w:tab w:val="left" w:pos="2835"/>
          <w:tab w:val="left" w:pos="6426"/>
          <w:tab w:val="right" w:pos="8505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VZR 1706</w:t>
      </w:r>
      <w:r w:rsidR="0025610D">
        <w:rPr>
          <w:rFonts w:ascii="Arial" w:hAnsi="Arial"/>
          <w:sz w:val="22"/>
        </w:rPr>
        <w:tab/>
      </w:r>
      <w:r w:rsidR="00E07A6C">
        <w:rPr>
          <w:rFonts w:ascii="Arial" w:hAnsi="Arial"/>
          <w:sz w:val="22"/>
        </w:rPr>
        <w:tab/>
      </w:r>
      <w:r w:rsidR="007E5989">
        <w:rPr>
          <w:rFonts w:ascii="Arial" w:hAnsi="Arial"/>
          <w:sz w:val="22"/>
        </w:rPr>
        <w:fldChar w:fldCharType="begin"/>
      </w:r>
      <w:r w:rsidR="007E5989">
        <w:rPr>
          <w:rFonts w:ascii="Arial" w:hAnsi="Arial"/>
          <w:sz w:val="22"/>
        </w:rPr>
        <w:instrText xml:space="preserve"> TIME \@ "d MMMM yyyy" </w:instrText>
      </w:r>
      <w:r w:rsidR="007E5989">
        <w:rPr>
          <w:rFonts w:ascii="Arial" w:hAnsi="Arial"/>
          <w:sz w:val="22"/>
        </w:rPr>
        <w:fldChar w:fldCharType="separate"/>
      </w:r>
      <w:r w:rsidR="00E959E0">
        <w:rPr>
          <w:rFonts w:ascii="Arial" w:hAnsi="Arial"/>
          <w:noProof/>
          <w:sz w:val="22"/>
        </w:rPr>
        <w:t>27 juni 2017</w:t>
      </w:r>
      <w:r w:rsidR="007E5989">
        <w:rPr>
          <w:rFonts w:ascii="Arial" w:hAnsi="Arial"/>
          <w:sz w:val="22"/>
        </w:rPr>
        <w:fldChar w:fldCharType="end"/>
      </w:r>
    </w:p>
    <w:p w14:paraId="73C59FB6" w14:textId="77777777" w:rsidR="00622062" w:rsidRDefault="00622062" w:rsidP="00622062">
      <w:pPr>
        <w:spacing w:line="260" w:lineRule="atLeast"/>
        <w:rPr>
          <w:rFonts w:ascii="Arial" w:hAnsi="Arial"/>
          <w:sz w:val="22"/>
        </w:rPr>
      </w:pPr>
    </w:p>
    <w:p w14:paraId="7F8CF742" w14:textId="77777777" w:rsidR="00622062" w:rsidRDefault="00622062" w:rsidP="00622062">
      <w:pPr>
        <w:spacing w:line="260" w:lineRule="atLeast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Betreft</w:t>
      </w:r>
    </w:p>
    <w:p w14:paraId="5DF69FC7" w14:textId="77777777" w:rsidR="00FC5F96" w:rsidRDefault="00622062" w:rsidP="00622062">
      <w:pPr>
        <w:rPr>
          <w:rFonts w:ascii="Arial" w:hAnsi="Arial" w:cs="Arial"/>
        </w:rPr>
      </w:pPr>
      <w:r w:rsidRPr="0036397F">
        <w:rPr>
          <w:rFonts w:ascii="Arial" w:hAnsi="Arial" w:cs="Arial"/>
        </w:rPr>
        <w:t>PERSBERICHT</w:t>
      </w:r>
      <w:r w:rsidR="00FC5F96">
        <w:rPr>
          <w:rFonts w:ascii="Arial" w:hAnsi="Arial" w:cs="Arial"/>
        </w:rPr>
        <w:t>:</w:t>
      </w:r>
    </w:p>
    <w:p w14:paraId="595C786C" w14:textId="77777777" w:rsidR="00D81647" w:rsidRPr="009F1CA7" w:rsidRDefault="00D81647" w:rsidP="00622062">
      <w:pPr>
        <w:rPr>
          <w:rFonts w:ascii="Arial" w:hAnsi="Arial" w:cs="Arial"/>
          <w:b/>
          <w:sz w:val="28"/>
          <w:szCs w:val="28"/>
        </w:rPr>
      </w:pPr>
    </w:p>
    <w:p w14:paraId="4B84ACFD" w14:textId="1E2CA73F" w:rsidR="00A14A8D" w:rsidRPr="003630A5" w:rsidRDefault="00295E4C" w:rsidP="0073403A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Leaseauto wordt weer met het hart gekozen</w:t>
      </w:r>
      <w:r w:rsidR="00305505">
        <w:rPr>
          <w:rFonts w:ascii="Arial" w:hAnsi="Arial" w:cs="Arial"/>
          <w:b/>
          <w:sz w:val="28"/>
          <w:szCs w:val="28"/>
        </w:rPr>
        <w:t>!</w:t>
      </w:r>
    </w:p>
    <w:p w14:paraId="3BED3303" w14:textId="77777777" w:rsidR="00A14A8D" w:rsidRPr="003630A5" w:rsidRDefault="00A14A8D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15CAD069" w14:textId="085B86C5" w:rsidR="006710F0" w:rsidRDefault="006710F0" w:rsidP="00A97C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Voor 2017 zijn de bijtellingscategorieën 15%, 21% en 25% samengevoegd tot één categorie: 22%</w:t>
      </w:r>
      <w:r w:rsidR="00F25C40">
        <w:rPr>
          <w:rFonts w:ascii="Arial" w:hAnsi="Arial" w:cs="Arial"/>
          <w:b/>
          <w:sz w:val="22"/>
          <w:szCs w:val="22"/>
        </w:rPr>
        <w:t xml:space="preserve"> bijtelling</w:t>
      </w:r>
      <w:r w:rsidR="002E28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Doordat bijna alle auto’s in deze nieuwe bijtellingscategorie vallen, is de keuze voor de leaserijder weer reuze! Wij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zien dit terug in de keuze voor </w:t>
      </w:r>
      <w:r w:rsidR="007828DF">
        <w:rPr>
          <w:rFonts w:ascii="Arial" w:hAnsi="Arial" w:cs="Arial"/>
          <w:b/>
          <w:sz w:val="22"/>
          <w:szCs w:val="22"/>
        </w:rPr>
        <w:t>een nieuwe leaseauto</w:t>
      </w:r>
      <w:r w:rsidR="0073403A">
        <w:rPr>
          <w:rFonts w:ascii="Arial" w:hAnsi="Arial" w:cs="Arial"/>
          <w:b/>
          <w:sz w:val="22"/>
          <w:szCs w:val="22"/>
        </w:rPr>
        <w:t xml:space="preserve">. De verkoopaantallen van de volumemerken zijn nu veel gelijkmatiger. </w:t>
      </w:r>
      <w:r w:rsidR="002E28C2">
        <w:rPr>
          <w:rFonts w:ascii="Arial" w:hAnsi="Arial" w:cs="Arial"/>
          <w:b/>
          <w:sz w:val="22"/>
          <w:szCs w:val="22"/>
        </w:rPr>
        <w:t xml:space="preserve">  </w:t>
      </w:r>
    </w:p>
    <w:p w14:paraId="20AA0937" w14:textId="77777777" w:rsidR="00A97CAC" w:rsidRDefault="00A97CAC" w:rsidP="006710F0">
      <w:pPr>
        <w:rPr>
          <w:rFonts w:ascii="Arial" w:hAnsi="Arial" w:cs="Arial"/>
          <w:b/>
          <w:sz w:val="22"/>
          <w:szCs w:val="22"/>
        </w:rPr>
      </w:pPr>
    </w:p>
    <w:p w14:paraId="363037E1" w14:textId="77777777" w:rsidR="00CA1C6E" w:rsidRDefault="005F4535" w:rsidP="00A97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afgelopen jaren liet de zakelijke rijder de keuze voor een nieuwe auto voor een groot gedeelte afhangen van de bijtellingscategorie die bij de au</w:t>
      </w:r>
      <w:r w:rsidR="0032225C">
        <w:rPr>
          <w:rFonts w:ascii="Arial" w:hAnsi="Arial" w:cs="Arial"/>
          <w:sz w:val="22"/>
          <w:szCs w:val="22"/>
        </w:rPr>
        <w:t>to hoorde. Daardoor waren sommige modellen meer in trek dan andere. Wat resulteerde in hoge verkoopaantallen van een bepaald model met een specifieke motorisering. Deze hadden namelijk een verlaagde bijtelling</w:t>
      </w:r>
      <w:r w:rsidR="00D42753">
        <w:rPr>
          <w:rFonts w:ascii="Arial" w:hAnsi="Arial" w:cs="Arial"/>
          <w:sz w:val="22"/>
          <w:szCs w:val="22"/>
        </w:rPr>
        <w:t>,</w:t>
      </w:r>
      <w:r w:rsidR="0032225C" w:rsidRPr="0032225C">
        <w:rPr>
          <w:rFonts w:ascii="Arial" w:hAnsi="Arial" w:cs="Arial"/>
          <w:sz w:val="22"/>
          <w:szCs w:val="22"/>
        </w:rPr>
        <w:t xml:space="preserve"> </w:t>
      </w:r>
      <w:r w:rsidR="0032225C">
        <w:rPr>
          <w:rFonts w:ascii="Arial" w:hAnsi="Arial" w:cs="Arial"/>
          <w:sz w:val="22"/>
          <w:szCs w:val="22"/>
        </w:rPr>
        <w:t xml:space="preserve">bijvoorbeeld Plug-In auto’s. </w:t>
      </w:r>
      <w:r w:rsidR="00CA1C6E">
        <w:rPr>
          <w:rFonts w:ascii="Arial" w:hAnsi="Arial" w:cs="Arial"/>
          <w:sz w:val="22"/>
          <w:szCs w:val="22"/>
        </w:rPr>
        <w:t xml:space="preserve"> </w:t>
      </w:r>
    </w:p>
    <w:p w14:paraId="72DC95B7" w14:textId="77777777" w:rsidR="00CA1C6E" w:rsidRDefault="00CA1C6E" w:rsidP="00A97CAC">
      <w:pPr>
        <w:rPr>
          <w:rFonts w:ascii="Arial" w:hAnsi="Arial" w:cs="Arial"/>
          <w:sz w:val="22"/>
          <w:szCs w:val="22"/>
        </w:rPr>
      </w:pPr>
    </w:p>
    <w:p w14:paraId="13688BAA" w14:textId="77777777" w:rsidR="005F4535" w:rsidRDefault="0032225C" w:rsidP="00A97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 2017 zijn er nog maar twee bijtellingscategorieën. 4% voor auto’s zonder uitstoot, dus volledig elektrische en waterstofauto’s. En 22% </w:t>
      </w:r>
      <w:r w:rsidR="003B65A7">
        <w:rPr>
          <w:rFonts w:ascii="Arial" w:hAnsi="Arial" w:cs="Arial"/>
          <w:sz w:val="22"/>
          <w:szCs w:val="22"/>
        </w:rPr>
        <w:t xml:space="preserve">bijtelling </w:t>
      </w:r>
      <w:r>
        <w:rPr>
          <w:rFonts w:ascii="Arial" w:hAnsi="Arial" w:cs="Arial"/>
          <w:sz w:val="22"/>
          <w:szCs w:val="22"/>
        </w:rPr>
        <w:t xml:space="preserve">voor auto’s met minimaal 1gram CO2 uitstoot. </w:t>
      </w:r>
      <w:r w:rsidR="002E28C2">
        <w:rPr>
          <w:rFonts w:ascii="Arial" w:hAnsi="Arial" w:cs="Arial"/>
          <w:sz w:val="22"/>
          <w:szCs w:val="22"/>
        </w:rPr>
        <w:t>Dit maakt dat de leaserijder weer met het hart kiest en dit is te zien in de verkopen.</w:t>
      </w:r>
    </w:p>
    <w:p w14:paraId="2CC2A7BD" w14:textId="77777777" w:rsidR="003B65A7" w:rsidRDefault="003B65A7" w:rsidP="00A97CAC">
      <w:pPr>
        <w:rPr>
          <w:rFonts w:ascii="Arial" w:hAnsi="Arial" w:cs="Arial"/>
          <w:sz w:val="22"/>
          <w:szCs w:val="22"/>
        </w:rPr>
      </w:pPr>
    </w:p>
    <w:p w14:paraId="42A9D33A" w14:textId="5C50C53F" w:rsidR="008C4721" w:rsidRDefault="0083193C" w:rsidP="00A97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zien een toename in verkopen van luxere uitvoeringen en andere </w:t>
      </w:r>
      <w:proofErr w:type="spellStart"/>
      <w:r>
        <w:rPr>
          <w:rFonts w:ascii="Arial" w:hAnsi="Arial" w:cs="Arial"/>
          <w:sz w:val="22"/>
          <w:szCs w:val="22"/>
        </w:rPr>
        <w:t>motoriseringen</w:t>
      </w:r>
      <w:proofErr w:type="spellEnd"/>
      <w:r w:rsidR="00E005E0">
        <w:rPr>
          <w:rFonts w:ascii="Arial" w:hAnsi="Arial" w:cs="Arial"/>
          <w:sz w:val="22"/>
          <w:szCs w:val="22"/>
        </w:rPr>
        <w:t xml:space="preserve">. </w:t>
      </w:r>
      <w:r w:rsidR="00130227">
        <w:rPr>
          <w:rFonts w:ascii="Arial" w:hAnsi="Arial" w:cs="Arial"/>
          <w:sz w:val="22"/>
          <w:szCs w:val="22"/>
        </w:rPr>
        <w:t>Dus niet alleen de benzine</w:t>
      </w:r>
      <w:r w:rsidR="007828DF">
        <w:rPr>
          <w:rFonts w:ascii="Arial" w:hAnsi="Arial" w:cs="Arial"/>
          <w:sz w:val="22"/>
          <w:szCs w:val="22"/>
        </w:rPr>
        <w:t>-</w:t>
      </w:r>
      <w:r w:rsidR="00130227">
        <w:rPr>
          <w:rFonts w:ascii="Arial" w:hAnsi="Arial" w:cs="Arial"/>
          <w:sz w:val="22"/>
          <w:szCs w:val="22"/>
        </w:rPr>
        <w:t xml:space="preserve"> of dieselmotor die een verlaagde bijtelling heeft, maar men kiest voor de motorisering </w:t>
      </w:r>
      <w:r w:rsidR="007828DF">
        <w:rPr>
          <w:rFonts w:ascii="Arial" w:hAnsi="Arial" w:cs="Arial"/>
          <w:sz w:val="22"/>
          <w:szCs w:val="22"/>
        </w:rPr>
        <w:t xml:space="preserve">én uitvoering </w:t>
      </w:r>
      <w:r w:rsidR="00130227">
        <w:rPr>
          <w:rFonts w:ascii="Arial" w:hAnsi="Arial" w:cs="Arial"/>
          <w:sz w:val="22"/>
          <w:szCs w:val="22"/>
        </w:rPr>
        <w:t xml:space="preserve">die </w:t>
      </w:r>
      <w:r w:rsidR="00B22518">
        <w:rPr>
          <w:rFonts w:ascii="Arial" w:hAnsi="Arial" w:cs="Arial"/>
          <w:sz w:val="22"/>
          <w:szCs w:val="22"/>
        </w:rPr>
        <w:t xml:space="preserve">bij hem/haar past. </w:t>
      </w:r>
      <w:r w:rsidR="00E47754">
        <w:rPr>
          <w:rFonts w:ascii="Arial" w:hAnsi="Arial" w:cs="Arial"/>
          <w:sz w:val="22"/>
          <w:szCs w:val="22"/>
        </w:rPr>
        <w:t xml:space="preserve">De verschillende automerken liggen </w:t>
      </w:r>
      <w:r w:rsidR="00D4726A">
        <w:rPr>
          <w:rFonts w:ascii="Arial" w:hAnsi="Arial" w:cs="Arial"/>
          <w:sz w:val="22"/>
          <w:szCs w:val="22"/>
        </w:rPr>
        <w:t xml:space="preserve">in 2017 </w:t>
      </w:r>
      <w:r w:rsidR="00E47754">
        <w:rPr>
          <w:rFonts w:ascii="Arial" w:hAnsi="Arial" w:cs="Arial"/>
          <w:sz w:val="22"/>
          <w:szCs w:val="22"/>
        </w:rPr>
        <w:t>qua verkopen dichter</w:t>
      </w:r>
      <w:r w:rsidR="008C4721">
        <w:rPr>
          <w:rFonts w:ascii="Arial" w:hAnsi="Arial" w:cs="Arial"/>
          <w:sz w:val="22"/>
          <w:szCs w:val="22"/>
        </w:rPr>
        <w:t xml:space="preserve"> </w:t>
      </w:r>
      <w:r w:rsidR="00E47754">
        <w:rPr>
          <w:rFonts w:ascii="Arial" w:hAnsi="Arial" w:cs="Arial"/>
          <w:sz w:val="22"/>
          <w:szCs w:val="22"/>
        </w:rPr>
        <w:t xml:space="preserve">bij elkaar. </w:t>
      </w:r>
      <w:r w:rsidR="00464BBF">
        <w:rPr>
          <w:rFonts w:ascii="Arial" w:hAnsi="Arial" w:cs="Arial"/>
          <w:sz w:val="22"/>
          <w:szCs w:val="22"/>
        </w:rPr>
        <w:t xml:space="preserve">Zie hiervoor </w:t>
      </w:r>
      <w:r w:rsidR="00782F0B">
        <w:rPr>
          <w:rFonts w:ascii="Arial" w:hAnsi="Arial" w:cs="Arial"/>
          <w:sz w:val="22"/>
          <w:szCs w:val="22"/>
        </w:rPr>
        <w:t xml:space="preserve">de </w:t>
      </w:r>
      <w:r w:rsidR="00464BBF">
        <w:rPr>
          <w:rFonts w:ascii="Arial" w:hAnsi="Arial" w:cs="Arial"/>
          <w:sz w:val="22"/>
          <w:szCs w:val="22"/>
        </w:rPr>
        <w:t xml:space="preserve">bijlage. </w:t>
      </w:r>
      <w:r w:rsidR="008C4721">
        <w:rPr>
          <w:rFonts w:ascii="Arial" w:hAnsi="Arial" w:cs="Arial"/>
          <w:sz w:val="22"/>
          <w:szCs w:val="22"/>
        </w:rPr>
        <w:t xml:space="preserve">Er zijn minder uitschieters in verkoopaantallen </w:t>
      </w:r>
      <w:r w:rsidR="002E28C2">
        <w:rPr>
          <w:rFonts w:ascii="Arial" w:hAnsi="Arial" w:cs="Arial"/>
          <w:sz w:val="22"/>
          <w:szCs w:val="22"/>
        </w:rPr>
        <w:t>van enkele specifieke modellen</w:t>
      </w:r>
      <w:r w:rsidR="008C4721">
        <w:rPr>
          <w:rFonts w:ascii="Arial" w:hAnsi="Arial" w:cs="Arial"/>
          <w:sz w:val="22"/>
          <w:szCs w:val="22"/>
        </w:rPr>
        <w:t xml:space="preserve">. </w:t>
      </w:r>
      <w:r w:rsidR="002E28C2">
        <w:rPr>
          <w:rFonts w:ascii="Arial" w:hAnsi="Arial" w:cs="Arial"/>
          <w:sz w:val="22"/>
          <w:szCs w:val="22"/>
        </w:rPr>
        <w:t>VZR vindt dit een goede ontwikkeling, de zakelijke rijder heeft een ruimere keuze.</w:t>
      </w:r>
    </w:p>
    <w:p w14:paraId="0819428C" w14:textId="77777777" w:rsidR="008C4721" w:rsidRDefault="008C4721" w:rsidP="00A97CAC">
      <w:pPr>
        <w:rPr>
          <w:rFonts w:ascii="Arial" w:hAnsi="Arial" w:cs="Arial"/>
          <w:sz w:val="22"/>
          <w:szCs w:val="22"/>
        </w:rPr>
      </w:pPr>
    </w:p>
    <w:p w14:paraId="4C1AAC9B" w14:textId="77777777" w:rsidR="008C4721" w:rsidRPr="008C4721" w:rsidRDefault="008C4721" w:rsidP="00A97CAC">
      <w:pPr>
        <w:rPr>
          <w:rFonts w:ascii="Arial" w:hAnsi="Arial" w:cs="Arial"/>
          <w:b/>
          <w:sz w:val="22"/>
          <w:szCs w:val="22"/>
        </w:rPr>
      </w:pPr>
      <w:r w:rsidRPr="008C4721">
        <w:rPr>
          <w:rFonts w:ascii="Arial" w:hAnsi="Arial" w:cs="Arial"/>
          <w:b/>
          <w:sz w:val="22"/>
          <w:szCs w:val="22"/>
        </w:rPr>
        <w:t>Gemiddelde catalogusprijs daalt</w:t>
      </w:r>
    </w:p>
    <w:p w14:paraId="365C958B" w14:textId="77777777" w:rsidR="008C4721" w:rsidRDefault="008C4721" w:rsidP="00A97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Tevens zien we dat de gemiddelde catalogusprijs van een leaseauto daalt. Dit komt door twee zaken, 1. er wordt minder gekozen wordt voor Plug-In auto’s die relatief dure techniek aan boord hebben, 2. Door het gelijktrekken van de bijtellingscategorieën kan er niet meer gekozen worden voor duurdere leaseauto’s maar met een lagere bijtelling. </w:t>
      </w:r>
    </w:p>
    <w:p w14:paraId="18E1CA2B" w14:textId="77777777" w:rsidR="008C4721" w:rsidRDefault="008C4721" w:rsidP="00A97CAC">
      <w:pPr>
        <w:rPr>
          <w:rFonts w:ascii="Arial" w:hAnsi="Arial" w:cs="Arial"/>
          <w:sz w:val="22"/>
          <w:szCs w:val="22"/>
        </w:rPr>
      </w:pPr>
    </w:p>
    <w:p w14:paraId="291590D7" w14:textId="77777777" w:rsidR="008C4721" w:rsidRPr="008C4721" w:rsidRDefault="008C4721" w:rsidP="00A97CAC">
      <w:pPr>
        <w:rPr>
          <w:rFonts w:ascii="Arial" w:hAnsi="Arial" w:cs="Arial"/>
          <w:b/>
          <w:sz w:val="22"/>
          <w:szCs w:val="22"/>
        </w:rPr>
      </w:pPr>
      <w:r w:rsidRPr="008C4721">
        <w:rPr>
          <w:rFonts w:ascii="Arial" w:hAnsi="Arial" w:cs="Arial"/>
          <w:b/>
          <w:sz w:val="22"/>
          <w:szCs w:val="22"/>
        </w:rPr>
        <w:t>BPM per leaseauto stijgt</w:t>
      </w:r>
    </w:p>
    <w:p w14:paraId="3B624AF1" w14:textId="77777777" w:rsidR="008C4721" w:rsidRDefault="008C4721" w:rsidP="00A97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Plug-In auto’s hebben een lagere BPM. Doordat er minder gekozen wordt voor plug-in modellen stijgt d</w:t>
      </w:r>
      <w:r w:rsidR="00B22518">
        <w:rPr>
          <w:rFonts w:ascii="Arial" w:hAnsi="Arial" w:cs="Arial"/>
          <w:sz w:val="22"/>
          <w:szCs w:val="22"/>
        </w:rPr>
        <w:t xml:space="preserve">e gemiddelde BPM per leaseauto! Dit is een positief bericht voor onze overheid die de afgelopen jaren de BPM-inkomsten flink heeft zien dalen. </w:t>
      </w:r>
    </w:p>
    <w:p w14:paraId="44E1DA4A" w14:textId="77777777" w:rsidR="005F4D17" w:rsidRPr="006D1CF9" w:rsidRDefault="005F4D17" w:rsidP="00A97CAC">
      <w:pPr>
        <w:rPr>
          <w:rFonts w:ascii="Arial" w:hAnsi="Arial" w:cs="Arial"/>
          <w:sz w:val="22"/>
          <w:szCs w:val="22"/>
        </w:rPr>
      </w:pPr>
    </w:p>
    <w:p w14:paraId="27802173" w14:textId="3BC25221" w:rsidR="0005430E" w:rsidRDefault="00E03B3C" w:rsidP="00A97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Voorzitter Jan van Delft: </w:t>
      </w:r>
      <w:r w:rsidRPr="008A7117">
        <w:rPr>
          <w:rFonts w:ascii="Arial" w:hAnsi="Arial" w:cs="Arial"/>
          <w:i/>
          <w:sz w:val="22"/>
          <w:szCs w:val="22"/>
        </w:rPr>
        <w:t>“</w:t>
      </w:r>
      <w:r w:rsidR="008A7117" w:rsidRPr="008A7117">
        <w:rPr>
          <w:rFonts w:ascii="Arial" w:hAnsi="Arial" w:cs="Arial"/>
          <w:i/>
          <w:sz w:val="22"/>
          <w:szCs w:val="22"/>
        </w:rPr>
        <w:t>We zien dat er nu andere keuzes gemaakt worden voor een nieuwe leaseauto. W</w:t>
      </w:r>
      <w:r w:rsidR="0005430E" w:rsidRPr="008A7117">
        <w:rPr>
          <w:rFonts w:ascii="Arial" w:hAnsi="Arial" w:cs="Arial"/>
          <w:i/>
          <w:sz w:val="22"/>
          <w:szCs w:val="22"/>
        </w:rPr>
        <w:t xml:space="preserve">aar men vroeger </w:t>
      </w:r>
      <w:r w:rsidR="008A7117" w:rsidRPr="008A7117">
        <w:rPr>
          <w:rFonts w:ascii="Arial" w:hAnsi="Arial" w:cs="Arial"/>
          <w:i/>
          <w:sz w:val="22"/>
          <w:szCs w:val="22"/>
        </w:rPr>
        <w:t xml:space="preserve">bijvoorbeeld </w:t>
      </w:r>
      <w:r w:rsidR="0005430E" w:rsidRPr="008A7117">
        <w:rPr>
          <w:rFonts w:ascii="Arial" w:hAnsi="Arial" w:cs="Arial"/>
          <w:i/>
          <w:sz w:val="22"/>
          <w:szCs w:val="22"/>
        </w:rPr>
        <w:t xml:space="preserve">voor een </w:t>
      </w:r>
      <w:r w:rsidR="006557CD">
        <w:rPr>
          <w:rFonts w:ascii="Arial" w:hAnsi="Arial" w:cs="Arial"/>
          <w:i/>
          <w:sz w:val="22"/>
          <w:szCs w:val="22"/>
        </w:rPr>
        <w:t xml:space="preserve">plug-in </w:t>
      </w:r>
      <w:r w:rsidR="007F1808">
        <w:rPr>
          <w:rFonts w:ascii="Arial" w:hAnsi="Arial" w:cs="Arial"/>
          <w:i/>
          <w:sz w:val="22"/>
          <w:szCs w:val="22"/>
        </w:rPr>
        <w:t>hybride</w:t>
      </w:r>
      <w:r w:rsidR="0005430E" w:rsidRPr="008A7117">
        <w:rPr>
          <w:rFonts w:ascii="Arial" w:hAnsi="Arial" w:cs="Arial"/>
          <w:i/>
          <w:sz w:val="22"/>
          <w:szCs w:val="22"/>
        </w:rPr>
        <w:t xml:space="preserve"> koos</w:t>
      </w:r>
      <w:r w:rsidR="008A7117" w:rsidRPr="008A7117">
        <w:rPr>
          <w:rFonts w:ascii="Arial" w:hAnsi="Arial" w:cs="Arial"/>
          <w:i/>
          <w:sz w:val="22"/>
          <w:szCs w:val="22"/>
        </w:rPr>
        <w:t>, omdat deze een lage bijtelling had</w:t>
      </w:r>
      <w:r w:rsidR="0005430E" w:rsidRPr="008A7117">
        <w:rPr>
          <w:rFonts w:ascii="Arial" w:hAnsi="Arial" w:cs="Arial"/>
          <w:i/>
          <w:sz w:val="22"/>
          <w:szCs w:val="22"/>
        </w:rPr>
        <w:t xml:space="preserve"> terwijl men </w:t>
      </w:r>
      <w:r w:rsidR="006557CD">
        <w:rPr>
          <w:rFonts w:ascii="Arial" w:hAnsi="Arial" w:cs="Arial"/>
          <w:i/>
          <w:sz w:val="22"/>
          <w:szCs w:val="22"/>
        </w:rPr>
        <w:t xml:space="preserve">heel veel </w:t>
      </w:r>
      <w:r w:rsidR="0005430E" w:rsidRPr="008A7117">
        <w:rPr>
          <w:rFonts w:ascii="Arial" w:hAnsi="Arial" w:cs="Arial"/>
          <w:i/>
          <w:sz w:val="22"/>
          <w:szCs w:val="22"/>
        </w:rPr>
        <w:t>kilometers reed, kiest men nu</w:t>
      </w:r>
      <w:r w:rsidR="003D39A1" w:rsidRPr="008A7117">
        <w:rPr>
          <w:rFonts w:ascii="Arial" w:hAnsi="Arial" w:cs="Arial"/>
          <w:i/>
          <w:sz w:val="22"/>
          <w:szCs w:val="22"/>
        </w:rPr>
        <w:t xml:space="preserve"> voor de </w:t>
      </w:r>
      <w:r w:rsidR="008A7117" w:rsidRPr="008A7117">
        <w:rPr>
          <w:rFonts w:ascii="Arial" w:hAnsi="Arial" w:cs="Arial"/>
          <w:i/>
          <w:sz w:val="22"/>
          <w:szCs w:val="22"/>
        </w:rPr>
        <w:t xml:space="preserve">motorisering </w:t>
      </w:r>
      <w:r w:rsidR="003D39A1" w:rsidRPr="008A7117">
        <w:rPr>
          <w:rFonts w:ascii="Arial" w:hAnsi="Arial" w:cs="Arial"/>
          <w:i/>
          <w:sz w:val="22"/>
          <w:szCs w:val="22"/>
        </w:rPr>
        <w:t>die past b</w:t>
      </w:r>
      <w:r w:rsidR="008A7117" w:rsidRPr="008A7117">
        <w:rPr>
          <w:rFonts w:ascii="Arial" w:hAnsi="Arial" w:cs="Arial"/>
          <w:i/>
          <w:sz w:val="22"/>
          <w:szCs w:val="22"/>
        </w:rPr>
        <w:t xml:space="preserve">ij </w:t>
      </w:r>
      <w:r w:rsidR="00A63DBD">
        <w:rPr>
          <w:rFonts w:ascii="Arial" w:hAnsi="Arial" w:cs="Arial"/>
          <w:i/>
          <w:sz w:val="22"/>
          <w:szCs w:val="22"/>
        </w:rPr>
        <w:t xml:space="preserve">het gebruik </w:t>
      </w:r>
      <w:r w:rsidR="008A7117" w:rsidRPr="008A7117">
        <w:rPr>
          <w:rFonts w:ascii="Arial" w:hAnsi="Arial" w:cs="Arial"/>
          <w:i/>
          <w:sz w:val="22"/>
          <w:szCs w:val="22"/>
        </w:rPr>
        <w:t>Daarnaast kan men weer uitgebreid kiezen voor meer of minder luxe uitvoeringen..</w:t>
      </w:r>
      <w:r w:rsidR="008A7117">
        <w:rPr>
          <w:rFonts w:ascii="Arial" w:hAnsi="Arial" w:cs="Arial"/>
          <w:i/>
          <w:sz w:val="22"/>
          <w:szCs w:val="22"/>
        </w:rPr>
        <w:t>”</w:t>
      </w:r>
      <w:r w:rsidR="008A7117">
        <w:rPr>
          <w:rFonts w:ascii="Arial" w:hAnsi="Arial" w:cs="Arial"/>
          <w:sz w:val="22"/>
          <w:szCs w:val="22"/>
        </w:rPr>
        <w:t xml:space="preserve"> </w:t>
      </w:r>
    </w:p>
    <w:p w14:paraId="28D57E9A" w14:textId="21669FC8" w:rsidR="008D119F" w:rsidRDefault="008D119F" w:rsidP="00A97CAC">
      <w:pPr>
        <w:rPr>
          <w:rFonts w:ascii="Arial" w:hAnsi="Arial" w:cs="Arial"/>
          <w:sz w:val="22"/>
          <w:szCs w:val="22"/>
        </w:rPr>
      </w:pPr>
    </w:p>
    <w:p w14:paraId="79900713" w14:textId="3F022DE8" w:rsidR="0005430E" w:rsidRDefault="0005430E" w:rsidP="00A97CAC">
      <w:pPr>
        <w:rPr>
          <w:rFonts w:ascii="Arial" w:hAnsi="Arial" w:cs="Arial"/>
          <w:sz w:val="22"/>
          <w:szCs w:val="22"/>
        </w:rPr>
      </w:pPr>
    </w:p>
    <w:p w14:paraId="256C5CFD" w14:textId="150B83CB"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lastRenderedPageBreak/>
        <w:t>Over V</w:t>
      </w:r>
      <w:r>
        <w:rPr>
          <w:rFonts w:ascii="Arial" w:hAnsi="Arial" w:cs="Arial"/>
          <w:b/>
          <w:sz w:val="22"/>
          <w:szCs w:val="22"/>
        </w:rPr>
        <w:t>ereniging Zakelijke Rijders</w:t>
      </w:r>
      <w:r w:rsidRPr="009F1CA7">
        <w:rPr>
          <w:rFonts w:ascii="Arial" w:hAnsi="Arial" w:cs="Arial"/>
          <w:b/>
          <w:sz w:val="22"/>
          <w:szCs w:val="22"/>
        </w:rPr>
        <w:t>:</w:t>
      </w:r>
    </w:p>
    <w:p w14:paraId="49381DC4" w14:textId="77777777"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 xml:space="preserve">Vereniging </w:t>
      </w:r>
      <w:r>
        <w:rPr>
          <w:rFonts w:ascii="Arial" w:hAnsi="Arial" w:cs="Arial"/>
          <w:b/>
          <w:sz w:val="22"/>
          <w:szCs w:val="22"/>
        </w:rPr>
        <w:t>Zakelijke Rijders</w:t>
      </w:r>
      <w:r w:rsidRPr="009F1CA7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VZR</w:t>
      </w:r>
      <w:r w:rsidRPr="009F1CA7">
        <w:rPr>
          <w:rFonts w:ascii="Arial" w:hAnsi="Arial" w:cs="Arial"/>
          <w:b/>
          <w:sz w:val="22"/>
          <w:szCs w:val="22"/>
        </w:rPr>
        <w:t>) is de belangenbehartiger voor berijders van een auto van de zaak. Zij zet zich in voor ruim 1 miljoen mensen die over een leaseauto of an</w:t>
      </w:r>
      <w:r>
        <w:rPr>
          <w:rFonts w:ascii="Arial" w:hAnsi="Arial" w:cs="Arial"/>
          <w:b/>
          <w:sz w:val="22"/>
          <w:szCs w:val="22"/>
        </w:rPr>
        <w:t>dere auto van de zaak beschikken en voor mensen die zakelijke kilometers rijden in hun privéauto.</w:t>
      </w:r>
    </w:p>
    <w:p w14:paraId="08DAC977" w14:textId="77777777"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>Voor aanvullende informatie kunt u contact opnemen met de voorzitter:</w:t>
      </w:r>
    </w:p>
    <w:p w14:paraId="4C6F84DD" w14:textId="77777777" w:rsidR="00A14A8D" w:rsidRDefault="00A14A8D" w:rsidP="00A14A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 van Delft</w:t>
      </w:r>
      <w:r w:rsidR="008317A4">
        <w:rPr>
          <w:rFonts w:ascii="Arial" w:hAnsi="Arial" w:cs="Arial"/>
          <w:b/>
          <w:sz w:val="22"/>
          <w:szCs w:val="22"/>
        </w:rPr>
        <w:t>: 06-51872274</w:t>
      </w:r>
      <w:r w:rsidR="00960AB9">
        <w:rPr>
          <w:rFonts w:ascii="Arial" w:hAnsi="Arial" w:cs="Arial"/>
          <w:b/>
          <w:sz w:val="22"/>
          <w:szCs w:val="22"/>
        </w:rPr>
        <w:t>.</w:t>
      </w:r>
    </w:p>
    <w:p w14:paraId="6D48F9AF" w14:textId="75BFB9C8" w:rsidR="00A14A8D" w:rsidRDefault="00A14A8D" w:rsidP="00A14A8D">
      <w:pPr>
        <w:rPr>
          <w:rFonts w:ascii="Arial" w:hAnsi="Arial" w:cs="Arial"/>
          <w:sz w:val="22"/>
          <w:szCs w:val="22"/>
        </w:rPr>
      </w:pPr>
    </w:p>
    <w:p w14:paraId="35BFDAEA" w14:textId="498BF5C4" w:rsidR="00AB77F7" w:rsidRDefault="00AB77F7" w:rsidP="00AB77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Bijlage: top 10 leasemaatschappijregistraties (excl. premiummerken)</w:t>
      </w:r>
    </w:p>
    <w:p w14:paraId="574720D2" w14:textId="5EC2F92B" w:rsidR="00AB77F7" w:rsidRDefault="00AB77F7" w:rsidP="00A14A8D">
      <w:pPr>
        <w:rPr>
          <w:rFonts w:ascii="Arial" w:hAnsi="Arial" w:cs="Arial"/>
          <w:sz w:val="22"/>
          <w:szCs w:val="22"/>
        </w:rPr>
      </w:pPr>
    </w:p>
    <w:p w14:paraId="762A9188" w14:textId="4F052FE7" w:rsidR="00AB77F7" w:rsidRDefault="00AB77F7" w:rsidP="00AB77F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Bijlage 1:</w:t>
      </w:r>
    </w:p>
    <w:p w14:paraId="6477EF0F" w14:textId="0619C4F2" w:rsidR="00AB77F7" w:rsidRDefault="00AB77F7" w:rsidP="00A14A8D">
      <w:pPr>
        <w:rPr>
          <w:rFonts w:ascii="Arial" w:hAnsi="Arial" w:cs="Arial"/>
          <w:b/>
          <w:sz w:val="22"/>
          <w:szCs w:val="22"/>
        </w:rPr>
      </w:pPr>
      <w:r w:rsidRPr="00AB77F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217B60A" wp14:editId="5148D318">
            <wp:extent cx="4298053" cy="3834716"/>
            <wp:effectExtent l="247650" t="247650" r="255270" b="2425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8053" cy="3834716"/>
                    </a:xfrm>
                    <a:prstGeom prst="rect">
                      <a:avLst/>
                    </a:prstGeom>
                    <a:ln w="254000" cmpd="sng">
                      <a:solidFill>
                        <a:schemeClr val="tx1"/>
                      </a:solidFill>
                    </a:ln>
                    <a:effectLst>
                      <a:softEdge rad="215900"/>
                    </a:effectLst>
                  </pic:spPr>
                </pic:pic>
              </a:graphicData>
            </a:graphic>
          </wp:inline>
        </w:drawing>
      </w:r>
    </w:p>
    <w:tbl>
      <w:tblPr>
        <w:tblW w:w="31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784"/>
        <w:gridCol w:w="704"/>
      </w:tblGrid>
      <w:tr w:rsidR="00AB77F7" w:rsidRPr="00AB77F7" w14:paraId="3F3019AF" w14:textId="77777777" w:rsidTr="00AB77F7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464EA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u w:val="single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u w:val="single"/>
                <w:lang w:eastAsia="nl-NL"/>
              </w:rPr>
              <w:t>Marktaandeelpercentages top 10 leasemaatschappijregistraties</w:t>
            </w:r>
          </w:p>
        </w:tc>
      </w:tr>
      <w:tr w:rsidR="00AB77F7" w:rsidRPr="00AB77F7" w14:paraId="67FFA5D6" w14:textId="77777777" w:rsidTr="00AB77F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61CA7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nl-NL"/>
              </w:rPr>
              <w:t>(excl. premium)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5F07D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79944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2017</w:t>
            </w:r>
          </w:p>
        </w:tc>
      </w:tr>
      <w:tr w:rsidR="00AB77F7" w:rsidRPr="00AB77F7" w14:paraId="4CDD272C" w14:textId="77777777" w:rsidTr="00AB77F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9DE4E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Volkswagen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22ED4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17,09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B4259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14,2</w:t>
            </w:r>
          </w:p>
        </w:tc>
      </w:tr>
      <w:tr w:rsidR="00AB77F7" w:rsidRPr="00AB77F7" w14:paraId="4F39C9DC" w14:textId="77777777" w:rsidTr="00AB77F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4B0D4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Renault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099CC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7,07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8E659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9,82</w:t>
            </w:r>
          </w:p>
        </w:tc>
      </w:tr>
      <w:tr w:rsidR="00AB77F7" w:rsidRPr="00AB77F7" w14:paraId="12D19221" w14:textId="77777777" w:rsidTr="00AB77F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1DB8E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Opel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0C03D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7,06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B9C22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9,67</w:t>
            </w:r>
          </w:p>
        </w:tc>
      </w:tr>
      <w:tr w:rsidR="00AB77F7" w:rsidRPr="00AB77F7" w14:paraId="1F94B95F" w14:textId="77777777" w:rsidTr="00AB77F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FC44C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Ford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A55F2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4,08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029EA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6,06</w:t>
            </w:r>
          </w:p>
        </w:tc>
      </w:tr>
      <w:tr w:rsidR="00AB77F7" w:rsidRPr="00AB77F7" w14:paraId="4395EB29" w14:textId="77777777" w:rsidTr="00AB77F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8304E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Skoda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1DC0F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7,14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3D602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5,66</w:t>
            </w:r>
          </w:p>
        </w:tc>
      </w:tr>
      <w:tr w:rsidR="00AB77F7" w:rsidRPr="00AB77F7" w14:paraId="5694488C" w14:textId="77777777" w:rsidTr="00AB77F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B54F7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Toyota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77619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3,89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A8C47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5,07</w:t>
            </w:r>
          </w:p>
        </w:tc>
      </w:tr>
      <w:tr w:rsidR="00AB77F7" w:rsidRPr="00AB77F7" w14:paraId="4D81D9D3" w14:textId="77777777" w:rsidTr="00AB77F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00B03" w14:textId="77777777" w:rsidR="00AB77F7" w:rsidRPr="00AB77F7" w:rsidRDefault="00AB77F7" w:rsidP="00AB77F7">
            <w:pPr>
              <w:widowControl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nl-NL"/>
              </w:rPr>
              <w:t>Peugeot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33800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5,01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81D88" w14:textId="77777777" w:rsidR="00AB77F7" w:rsidRPr="00AB77F7" w:rsidRDefault="00AB77F7" w:rsidP="00AB77F7">
            <w:pPr>
              <w:widowControl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</w:pPr>
            <w:r w:rsidRPr="00AB77F7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nl-NL"/>
              </w:rPr>
              <w:t>4,59</w:t>
            </w:r>
          </w:p>
        </w:tc>
      </w:tr>
    </w:tbl>
    <w:p w14:paraId="11230E8C" w14:textId="77777777" w:rsidR="00AB77F7" w:rsidRDefault="00AB77F7" w:rsidP="00A14A8D">
      <w:pPr>
        <w:rPr>
          <w:rFonts w:ascii="Arial" w:hAnsi="Arial" w:cs="Arial"/>
          <w:b/>
          <w:sz w:val="22"/>
          <w:szCs w:val="22"/>
        </w:rPr>
      </w:pPr>
    </w:p>
    <w:p w14:paraId="31566479" w14:textId="3BBB4680" w:rsidR="00AB77F7" w:rsidRPr="00AB77F7" w:rsidRDefault="00AB77F7" w:rsidP="00A14A8D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(Periode jan-mei)</w:t>
      </w:r>
    </w:p>
    <w:sectPr w:rsidR="00AB77F7" w:rsidRPr="00AB77F7" w:rsidSect="00880D6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C3B4" w14:textId="77777777" w:rsidR="00456D84" w:rsidRDefault="00456D84" w:rsidP="00622062">
      <w:r>
        <w:separator/>
      </w:r>
    </w:p>
  </w:endnote>
  <w:endnote w:type="continuationSeparator" w:id="0">
    <w:p w14:paraId="4B56C558" w14:textId="77777777" w:rsidR="00456D84" w:rsidRDefault="00456D84" w:rsidP="0062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4287" w14:textId="77777777" w:rsidR="00622062" w:rsidRPr="00987366" w:rsidRDefault="002159FA">
    <w:pPr>
      <w:pStyle w:val="Voettekst"/>
      <w:rPr>
        <w:rFonts w:ascii="Calibri" w:hAnsi="Calibri"/>
        <w:color w:val="BFBFBF"/>
        <w:lang w:val="nl-NL"/>
      </w:rPr>
    </w:pPr>
    <w:r w:rsidRPr="00A75D7A">
      <w:rPr>
        <w:rFonts w:ascii="Calibri" w:hAnsi="Calibri"/>
        <w:color w:val="BFBFBF"/>
      </w:rPr>
      <w:t>www.</w:t>
    </w:r>
    <w:r w:rsidR="00987366">
      <w:rPr>
        <w:rFonts w:ascii="Calibri" w:hAnsi="Calibri"/>
        <w:color w:val="BFBFBF"/>
        <w:lang w:val="nl-NL"/>
      </w:rPr>
      <w:t>vzr</w:t>
    </w:r>
    <w:r w:rsidRPr="00A75D7A">
      <w:rPr>
        <w:rFonts w:ascii="Calibri" w:hAnsi="Calibri"/>
        <w:color w:val="BFBFBF"/>
      </w:rPr>
      <w:t>.nl</w:t>
    </w:r>
    <w:r w:rsidR="00E279F0" w:rsidRPr="00A75D7A">
      <w:rPr>
        <w:rFonts w:ascii="Calibri" w:hAnsi="Calibri"/>
        <w:color w:val="BFBFBF"/>
      </w:rPr>
      <w:t xml:space="preserve">   </w:t>
    </w:r>
    <w:r w:rsidR="00987366">
      <w:rPr>
        <w:rFonts w:ascii="Calibri" w:hAnsi="Calibri"/>
        <w:color w:val="BFBFBF"/>
        <w:lang w:val="nl-NL"/>
      </w:rPr>
      <w:t>Lange Dreef 8</w:t>
    </w:r>
    <w:r w:rsidR="00987366">
      <w:rPr>
        <w:rFonts w:ascii="Calibri" w:hAnsi="Calibri"/>
        <w:color w:val="BFBFBF"/>
      </w:rPr>
      <w:t>, 4131 NH</w:t>
    </w:r>
    <w:r w:rsidRPr="00A75D7A">
      <w:rPr>
        <w:rFonts w:ascii="Calibri" w:hAnsi="Calibri"/>
        <w:color w:val="BFBFBF"/>
      </w:rPr>
      <w:t xml:space="preserve"> Vianen</w:t>
    </w:r>
    <w:r w:rsidR="00E279F0" w:rsidRPr="00A75D7A">
      <w:rPr>
        <w:rFonts w:ascii="Calibri" w:hAnsi="Calibri"/>
        <w:color w:val="BFBFBF"/>
      </w:rPr>
      <w:t xml:space="preserve">  </w:t>
    </w:r>
    <w:r w:rsidR="00A06A66" w:rsidRPr="00A75D7A">
      <w:rPr>
        <w:rFonts w:ascii="Calibri" w:hAnsi="Calibri"/>
        <w:color w:val="BFBFBF"/>
      </w:rPr>
      <w:t>KvK</w:t>
    </w:r>
    <w:r w:rsidR="00622062" w:rsidRPr="00A75D7A">
      <w:rPr>
        <w:rFonts w:ascii="Calibri" w:hAnsi="Calibri"/>
        <w:color w:val="BFBFBF"/>
      </w:rPr>
      <w:t>. 30246214</w:t>
    </w:r>
    <w:r w:rsidR="00E279F0" w:rsidRPr="00A75D7A">
      <w:rPr>
        <w:rFonts w:ascii="Calibri" w:hAnsi="Calibri"/>
        <w:color w:val="BFBFBF"/>
      </w:rPr>
      <w:t xml:space="preserve"> </w:t>
    </w:r>
    <w:r w:rsidR="00987366">
      <w:rPr>
        <w:rFonts w:ascii="Calibri" w:hAnsi="Calibri"/>
        <w:color w:val="BFBFBF"/>
      </w:rPr>
      <w:t xml:space="preserve"> </w:t>
    </w:r>
    <w:r w:rsidR="00987366" w:rsidRPr="00987366">
      <w:rPr>
        <w:rFonts w:ascii="Calibri" w:hAnsi="Calibri"/>
        <w:color w:val="BFBFBF"/>
      </w:rPr>
      <w:t>info@</w:t>
    </w:r>
    <w:r w:rsidR="00987366" w:rsidRPr="00987366">
      <w:rPr>
        <w:rFonts w:ascii="Calibri" w:hAnsi="Calibri"/>
        <w:color w:val="BFBFBF"/>
        <w:lang w:val="nl-NL"/>
      </w:rPr>
      <w:t>vzr.nl</w:t>
    </w:r>
    <w:r w:rsidR="00987366">
      <w:rPr>
        <w:rFonts w:ascii="Calibri" w:hAnsi="Calibri"/>
        <w:color w:val="BFBFBF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4D56" w14:textId="77777777" w:rsidR="00456D84" w:rsidRDefault="00456D84" w:rsidP="00622062">
      <w:r>
        <w:separator/>
      </w:r>
    </w:p>
  </w:footnote>
  <w:footnote w:type="continuationSeparator" w:id="0">
    <w:p w14:paraId="3B6D5BA8" w14:textId="77777777" w:rsidR="00456D84" w:rsidRDefault="00456D84" w:rsidP="0062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D5E1" w14:textId="3C6CEB2E" w:rsidR="00622062" w:rsidRDefault="001079BD">
    <w:pPr>
      <w:pStyle w:val="Koptekst"/>
    </w:pPr>
    <w:r>
      <w:rPr>
        <w:noProof/>
        <w:lang w:eastAsia="nl-NL"/>
      </w:rPr>
      <w:drawing>
        <wp:inline distT="0" distB="0" distL="0" distR="0" wp14:anchorId="3185AFF1" wp14:editId="7B3BB3C8">
          <wp:extent cx="2857500" cy="847725"/>
          <wp:effectExtent l="0" t="0" r="0" b="0"/>
          <wp:docPr id="1" name="Afbeelding 1" descr="logo-zakelijke-rijders-300x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akelijke-rijders-300x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0BFD"/>
    <w:multiLevelType w:val="multilevel"/>
    <w:tmpl w:val="37B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0305EE"/>
    <w:rsid w:val="00043407"/>
    <w:rsid w:val="00044BE9"/>
    <w:rsid w:val="00051E4D"/>
    <w:rsid w:val="00053E88"/>
    <w:rsid w:val="0005430E"/>
    <w:rsid w:val="00060E09"/>
    <w:rsid w:val="0008765C"/>
    <w:rsid w:val="00094E7A"/>
    <w:rsid w:val="00097EBB"/>
    <w:rsid w:val="000A627D"/>
    <w:rsid w:val="000C3299"/>
    <w:rsid w:val="000C4182"/>
    <w:rsid w:val="000D01C5"/>
    <w:rsid w:val="000F683E"/>
    <w:rsid w:val="001079BD"/>
    <w:rsid w:val="001207A5"/>
    <w:rsid w:val="00130227"/>
    <w:rsid w:val="00131AA2"/>
    <w:rsid w:val="001335E2"/>
    <w:rsid w:val="001339EB"/>
    <w:rsid w:val="00136890"/>
    <w:rsid w:val="001430B6"/>
    <w:rsid w:val="0014657B"/>
    <w:rsid w:val="00153142"/>
    <w:rsid w:val="00154D86"/>
    <w:rsid w:val="00163C16"/>
    <w:rsid w:val="00170B2A"/>
    <w:rsid w:val="001808F9"/>
    <w:rsid w:val="00193EB1"/>
    <w:rsid w:val="001B0FA2"/>
    <w:rsid w:val="001B5D61"/>
    <w:rsid w:val="001F7040"/>
    <w:rsid w:val="00202685"/>
    <w:rsid w:val="00203888"/>
    <w:rsid w:val="00210279"/>
    <w:rsid w:val="00211BBE"/>
    <w:rsid w:val="002159FA"/>
    <w:rsid w:val="00224451"/>
    <w:rsid w:val="00236441"/>
    <w:rsid w:val="00237DC7"/>
    <w:rsid w:val="00245694"/>
    <w:rsid w:val="00253C52"/>
    <w:rsid w:val="0025610D"/>
    <w:rsid w:val="00266586"/>
    <w:rsid w:val="00295E31"/>
    <w:rsid w:val="00295E4C"/>
    <w:rsid w:val="002A1173"/>
    <w:rsid w:val="002A6057"/>
    <w:rsid w:val="002C1773"/>
    <w:rsid w:val="002E28C2"/>
    <w:rsid w:val="002E78AF"/>
    <w:rsid w:val="002F2AA1"/>
    <w:rsid w:val="002F3E1B"/>
    <w:rsid w:val="00305505"/>
    <w:rsid w:val="00305793"/>
    <w:rsid w:val="0031770A"/>
    <w:rsid w:val="0032225C"/>
    <w:rsid w:val="00336468"/>
    <w:rsid w:val="00353F7E"/>
    <w:rsid w:val="00355847"/>
    <w:rsid w:val="003630A5"/>
    <w:rsid w:val="00380066"/>
    <w:rsid w:val="0038524D"/>
    <w:rsid w:val="00392C34"/>
    <w:rsid w:val="00396529"/>
    <w:rsid w:val="003A418A"/>
    <w:rsid w:val="003B65A7"/>
    <w:rsid w:val="003C7975"/>
    <w:rsid w:val="003D0AC1"/>
    <w:rsid w:val="003D39A1"/>
    <w:rsid w:val="003D7E72"/>
    <w:rsid w:val="003E1DA8"/>
    <w:rsid w:val="00400C79"/>
    <w:rsid w:val="00401654"/>
    <w:rsid w:val="004114D5"/>
    <w:rsid w:val="00456BF0"/>
    <w:rsid w:val="00456D84"/>
    <w:rsid w:val="00460766"/>
    <w:rsid w:val="00464BBF"/>
    <w:rsid w:val="00484F5A"/>
    <w:rsid w:val="004A428C"/>
    <w:rsid w:val="004B04DD"/>
    <w:rsid w:val="004E3020"/>
    <w:rsid w:val="004E6A09"/>
    <w:rsid w:val="005042B5"/>
    <w:rsid w:val="0051329C"/>
    <w:rsid w:val="00525045"/>
    <w:rsid w:val="00534DBB"/>
    <w:rsid w:val="00535A88"/>
    <w:rsid w:val="00540709"/>
    <w:rsid w:val="00542746"/>
    <w:rsid w:val="00542904"/>
    <w:rsid w:val="0054734F"/>
    <w:rsid w:val="00552978"/>
    <w:rsid w:val="00572721"/>
    <w:rsid w:val="00593CDE"/>
    <w:rsid w:val="005B1C38"/>
    <w:rsid w:val="005B4549"/>
    <w:rsid w:val="005D0AEB"/>
    <w:rsid w:val="005D329A"/>
    <w:rsid w:val="005E0D16"/>
    <w:rsid w:val="005F2E1D"/>
    <w:rsid w:val="005F2F1D"/>
    <w:rsid w:val="005F4535"/>
    <w:rsid w:val="005F4D17"/>
    <w:rsid w:val="005F77A4"/>
    <w:rsid w:val="0060172E"/>
    <w:rsid w:val="00622062"/>
    <w:rsid w:val="00651289"/>
    <w:rsid w:val="0065452A"/>
    <w:rsid w:val="006557CD"/>
    <w:rsid w:val="0065753F"/>
    <w:rsid w:val="00665B92"/>
    <w:rsid w:val="00665C7E"/>
    <w:rsid w:val="006710F0"/>
    <w:rsid w:val="006D1CF9"/>
    <w:rsid w:val="006E273B"/>
    <w:rsid w:val="006E3913"/>
    <w:rsid w:val="006F5537"/>
    <w:rsid w:val="006F70B9"/>
    <w:rsid w:val="00704D74"/>
    <w:rsid w:val="007235B5"/>
    <w:rsid w:val="007319C5"/>
    <w:rsid w:val="0073206A"/>
    <w:rsid w:val="0073403A"/>
    <w:rsid w:val="007457A8"/>
    <w:rsid w:val="00753632"/>
    <w:rsid w:val="00757C5D"/>
    <w:rsid w:val="00761EE4"/>
    <w:rsid w:val="007623DD"/>
    <w:rsid w:val="007828DF"/>
    <w:rsid w:val="00782F0B"/>
    <w:rsid w:val="00783531"/>
    <w:rsid w:val="007B15DF"/>
    <w:rsid w:val="007D6605"/>
    <w:rsid w:val="007E5989"/>
    <w:rsid w:val="007F1808"/>
    <w:rsid w:val="008217A1"/>
    <w:rsid w:val="00830449"/>
    <w:rsid w:val="008317A4"/>
    <w:rsid w:val="0083193C"/>
    <w:rsid w:val="00847161"/>
    <w:rsid w:val="008521F5"/>
    <w:rsid w:val="00874015"/>
    <w:rsid w:val="00880D6B"/>
    <w:rsid w:val="00881CB4"/>
    <w:rsid w:val="008908CD"/>
    <w:rsid w:val="00891A54"/>
    <w:rsid w:val="00892B4A"/>
    <w:rsid w:val="00896B62"/>
    <w:rsid w:val="008A3A3E"/>
    <w:rsid w:val="008A7117"/>
    <w:rsid w:val="008B0046"/>
    <w:rsid w:val="008C0334"/>
    <w:rsid w:val="008C4721"/>
    <w:rsid w:val="008C5D33"/>
    <w:rsid w:val="008D119F"/>
    <w:rsid w:val="008D1F10"/>
    <w:rsid w:val="0090399E"/>
    <w:rsid w:val="009076FE"/>
    <w:rsid w:val="00910857"/>
    <w:rsid w:val="00960AB9"/>
    <w:rsid w:val="00963A19"/>
    <w:rsid w:val="00972E3C"/>
    <w:rsid w:val="009763CF"/>
    <w:rsid w:val="00987366"/>
    <w:rsid w:val="00991110"/>
    <w:rsid w:val="00993E20"/>
    <w:rsid w:val="009A40A5"/>
    <w:rsid w:val="009B31F1"/>
    <w:rsid w:val="009B3237"/>
    <w:rsid w:val="009B7266"/>
    <w:rsid w:val="009D70D8"/>
    <w:rsid w:val="009E21B8"/>
    <w:rsid w:val="009F1CA7"/>
    <w:rsid w:val="009F3FB8"/>
    <w:rsid w:val="00A06A66"/>
    <w:rsid w:val="00A126FD"/>
    <w:rsid w:val="00A14A8D"/>
    <w:rsid w:val="00A159DE"/>
    <w:rsid w:val="00A31751"/>
    <w:rsid w:val="00A37A31"/>
    <w:rsid w:val="00A627C7"/>
    <w:rsid w:val="00A63DBD"/>
    <w:rsid w:val="00A65F67"/>
    <w:rsid w:val="00A74F6C"/>
    <w:rsid w:val="00A752CF"/>
    <w:rsid w:val="00A75486"/>
    <w:rsid w:val="00A75D7A"/>
    <w:rsid w:val="00A97CAC"/>
    <w:rsid w:val="00AA228F"/>
    <w:rsid w:val="00AB6053"/>
    <w:rsid w:val="00AB77F7"/>
    <w:rsid w:val="00AC3AB3"/>
    <w:rsid w:val="00B0153C"/>
    <w:rsid w:val="00B11B5F"/>
    <w:rsid w:val="00B137DE"/>
    <w:rsid w:val="00B15B32"/>
    <w:rsid w:val="00B22518"/>
    <w:rsid w:val="00B26CF5"/>
    <w:rsid w:val="00B43B23"/>
    <w:rsid w:val="00B531D4"/>
    <w:rsid w:val="00B55AD7"/>
    <w:rsid w:val="00B610D0"/>
    <w:rsid w:val="00B81CFA"/>
    <w:rsid w:val="00B91E7F"/>
    <w:rsid w:val="00B94779"/>
    <w:rsid w:val="00BA5F6C"/>
    <w:rsid w:val="00BD4480"/>
    <w:rsid w:val="00BD7F63"/>
    <w:rsid w:val="00BE75C7"/>
    <w:rsid w:val="00BF021D"/>
    <w:rsid w:val="00BF5F14"/>
    <w:rsid w:val="00BF79EF"/>
    <w:rsid w:val="00C22938"/>
    <w:rsid w:val="00C32DDF"/>
    <w:rsid w:val="00C3635A"/>
    <w:rsid w:val="00C44F52"/>
    <w:rsid w:val="00C71922"/>
    <w:rsid w:val="00C7730B"/>
    <w:rsid w:val="00C84BD6"/>
    <w:rsid w:val="00C856DC"/>
    <w:rsid w:val="00C86CE9"/>
    <w:rsid w:val="00CA1C6E"/>
    <w:rsid w:val="00CB3773"/>
    <w:rsid w:val="00CB7FC7"/>
    <w:rsid w:val="00CC3A3C"/>
    <w:rsid w:val="00CC5EB7"/>
    <w:rsid w:val="00CC6113"/>
    <w:rsid w:val="00CD1722"/>
    <w:rsid w:val="00CD649F"/>
    <w:rsid w:val="00CE1547"/>
    <w:rsid w:val="00CF03BA"/>
    <w:rsid w:val="00D0639F"/>
    <w:rsid w:val="00D13761"/>
    <w:rsid w:val="00D150D4"/>
    <w:rsid w:val="00D23FB1"/>
    <w:rsid w:val="00D24453"/>
    <w:rsid w:val="00D42753"/>
    <w:rsid w:val="00D458F6"/>
    <w:rsid w:val="00D4726A"/>
    <w:rsid w:val="00D47283"/>
    <w:rsid w:val="00D72796"/>
    <w:rsid w:val="00D73606"/>
    <w:rsid w:val="00D81647"/>
    <w:rsid w:val="00D91300"/>
    <w:rsid w:val="00DD3572"/>
    <w:rsid w:val="00DE29AD"/>
    <w:rsid w:val="00DE2BDD"/>
    <w:rsid w:val="00DE5EF6"/>
    <w:rsid w:val="00DE6B94"/>
    <w:rsid w:val="00DF0781"/>
    <w:rsid w:val="00DF17C6"/>
    <w:rsid w:val="00E005E0"/>
    <w:rsid w:val="00E020DD"/>
    <w:rsid w:val="00E03B3C"/>
    <w:rsid w:val="00E0446E"/>
    <w:rsid w:val="00E07A6C"/>
    <w:rsid w:val="00E2476B"/>
    <w:rsid w:val="00E279F0"/>
    <w:rsid w:val="00E44914"/>
    <w:rsid w:val="00E4520B"/>
    <w:rsid w:val="00E47754"/>
    <w:rsid w:val="00E959E0"/>
    <w:rsid w:val="00E97ACC"/>
    <w:rsid w:val="00EA1903"/>
    <w:rsid w:val="00EA59EB"/>
    <w:rsid w:val="00EB113B"/>
    <w:rsid w:val="00EB31DF"/>
    <w:rsid w:val="00EB4A6B"/>
    <w:rsid w:val="00EC33E3"/>
    <w:rsid w:val="00ED7830"/>
    <w:rsid w:val="00EE10C9"/>
    <w:rsid w:val="00EE595F"/>
    <w:rsid w:val="00EF1AA9"/>
    <w:rsid w:val="00EF385A"/>
    <w:rsid w:val="00F143B4"/>
    <w:rsid w:val="00F22B45"/>
    <w:rsid w:val="00F25C40"/>
    <w:rsid w:val="00F34517"/>
    <w:rsid w:val="00F65296"/>
    <w:rsid w:val="00F664FF"/>
    <w:rsid w:val="00F742E3"/>
    <w:rsid w:val="00F810F0"/>
    <w:rsid w:val="00F87434"/>
    <w:rsid w:val="00F9587A"/>
    <w:rsid w:val="00FA4D27"/>
    <w:rsid w:val="00FC5F96"/>
    <w:rsid w:val="00FD2ABB"/>
    <w:rsid w:val="00FE3C0A"/>
    <w:rsid w:val="00FE6517"/>
    <w:rsid w:val="00FE7063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8A14"/>
  <w15:chartTrackingRefBased/>
  <w15:docId w15:val="{1BADDEFA-88DF-4A53-9FAB-02E0BA76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2062"/>
    <w:pPr>
      <w:widowControl w:val="0"/>
    </w:pPr>
    <w:rPr>
      <w:rFonts w:ascii="Book Antiqua" w:eastAsia="Times New Roman" w:hAnsi="Book Antiqua"/>
      <w:spacing w:val="2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6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622062"/>
    <w:rPr>
      <w:rFonts w:ascii="Tahoma" w:eastAsia="Times New Roman" w:hAnsi="Tahoma" w:cs="Tahoma"/>
      <w:spacing w:val="2"/>
      <w:sz w:val="16"/>
      <w:szCs w:val="16"/>
    </w:rPr>
  </w:style>
  <w:style w:type="character" w:styleId="Hyperlink">
    <w:name w:val="Hyperlink"/>
    <w:uiPriority w:val="99"/>
    <w:unhideWhenUsed/>
    <w:rsid w:val="00B91E7F"/>
    <w:rPr>
      <w:rFonts w:ascii="Verdana" w:hAnsi="Verdana" w:hint="default"/>
      <w:i w:val="0"/>
      <w:iCs w:val="0"/>
      <w:smallCaps w:val="0"/>
      <w:color w:val="000000"/>
      <w:sz w:val="17"/>
      <w:szCs w:val="17"/>
      <w:u w:val="single"/>
    </w:rPr>
  </w:style>
  <w:style w:type="character" w:customStyle="1" w:styleId="apple-style-span">
    <w:name w:val="apple-style-span"/>
    <w:basedOn w:val="Standaardalinea-lettertype"/>
    <w:rsid w:val="00B91E7F"/>
  </w:style>
  <w:style w:type="character" w:styleId="Verwijzingopmerking">
    <w:name w:val="annotation reference"/>
    <w:uiPriority w:val="99"/>
    <w:semiHidden/>
    <w:unhideWhenUsed/>
    <w:rsid w:val="00A31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1751"/>
    <w:rPr>
      <w:sz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A31751"/>
    <w:rPr>
      <w:rFonts w:ascii="Book Antiqua" w:eastAsia="Times New Roman" w:hAnsi="Book Antiqua"/>
      <w:spacing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175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1751"/>
    <w:rPr>
      <w:rFonts w:ascii="Book Antiqua" w:eastAsia="Times New Roman" w:hAnsi="Book Antiqua"/>
      <w:b/>
      <w:bCs/>
      <w:spacing w:val="2"/>
      <w:lang w:eastAsia="en-US"/>
    </w:rPr>
  </w:style>
  <w:style w:type="paragraph" w:styleId="Revisie">
    <w:name w:val="Revision"/>
    <w:hidden/>
    <w:uiPriority w:val="99"/>
    <w:semiHidden/>
    <w:rsid w:val="00A31751"/>
    <w:rPr>
      <w:rFonts w:ascii="Book Antiqua" w:eastAsia="Times New Roman" w:hAnsi="Book Antiqua"/>
      <w:spacing w:val="2"/>
      <w:sz w:val="24"/>
      <w:lang w:eastAsia="en-US"/>
    </w:rPr>
  </w:style>
  <w:style w:type="paragraph" w:styleId="Normaalweb">
    <w:name w:val="Normal (Web)"/>
    <w:basedOn w:val="Standaard"/>
    <w:uiPriority w:val="99"/>
    <w:unhideWhenUsed/>
    <w:rsid w:val="00535A88"/>
    <w:pPr>
      <w:widowControl/>
      <w:spacing w:before="100" w:beforeAutospacing="1" w:after="100" w:afterAutospacing="1"/>
    </w:pPr>
    <w:rPr>
      <w:rFonts w:ascii="Times New Roman" w:hAnsi="Times New Roman"/>
      <w:spacing w:val="0"/>
      <w:szCs w:val="24"/>
      <w:lang w:eastAsia="nl-NL"/>
    </w:rPr>
  </w:style>
  <w:style w:type="paragraph" w:styleId="Geenafstand">
    <w:name w:val="No Spacing"/>
    <w:uiPriority w:val="1"/>
    <w:qFormat/>
    <w:rsid w:val="007235B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11666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4383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693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DCFB8B78D048A9C1C8CAF2F1DF1C" ma:contentTypeVersion="2" ma:contentTypeDescription="Een nieuw document maken." ma:contentTypeScope="" ma:versionID="3a675119adc52022d25ed60e2bc099ef">
  <xsd:schema xmlns:xsd="http://www.w3.org/2001/XMLSchema" xmlns:xs="http://www.w3.org/2001/XMLSchema" xmlns:p="http://schemas.microsoft.com/office/2006/metadata/properties" xmlns:ns2="272ceec4-a01f-4371-97a4-6d2501dd5943" targetNamespace="http://schemas.microsoft.com/office/2006/metadata/properties" ma:root="true" ma:fieldsID="cf7b7eba8056771e12568abb04d9fc3f" ns2:_="">
    <xsd:import namespace="272ceec4-a01f-4371-97a4-6d2501dd5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eec4-a01f-4371-97a4-6d2501dd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934A-CCE7-447D-A9A1-27E6E3377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5CB45-50C1-4F14-AE33-43AFDB3F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ceec4-a01f-4371-97a4-6d2501dd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B86B8-DF05-4212-9FA5-7321D30F4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7B34E-00A0-4567-9EA4-BFFCAC2C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Johnson Factory</cp:lastModifiedBy>
  <cp:revision>6</cp:revision>
  <cp:lastPrinted>2017-06-27T15:47:00Z</cp:lastPrinted>
  <dcterms:created xsi:type="dcterms:W3CDTF">2017-06-22T07:06:00Z</dcterms:created>
  <dcterms:modified xsi:type="dcterms:W3CDTF">2017-06-27T15:47:00Z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0x010100CAD3DCFB8B78D048A9C1C8CAF2F1DF1C</vt:lpwstr>
  </property>
</Properties>
</file>