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E6DA" w14:textId="77777777" w:rsidR="00622062" w:rsidRDefault="00622062" w:rsidP="00622062">
      <w:pPr>
        <w:rPr>
          <w:rFonts w:ascii="Arial" w:hAnsi="Arial"/>
          <w:sz w:val="22"/>
          <w:szCs w:val="22"/>
        </w:rPr>
      </w:pPr>
    </w:p>
    <w:p w14:paraId="5B211EF2" w14:textId="77777777" w:rsidR="00622062" w:rsidRDefault="00622062" w:rsidP="00622062">
      <w:pPr>
        <w:tabs>
          <w:tab w:val="left" w:pos="709"/>
          <w:tab w:val="left" w:pos="2835"/>
          <w:tab w:val="left" w:pos="6426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13"/>
          <w:szCs w:val="13"/>
        </w:rPr>
        <w:t>Kenmerk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3"/>
          <w:szCs w:val="13"/>
        </w:rPr>
        <w:t>Datum</w:t>
      </w:r>
      <w:r>
        <w:rPr>
          <w:rFonts w:ascii="Arial" w:hAnsi="Arial"/>
          <w:sz w:val="22"/>
        </w:rPr>
        <w:tab/>
      </w:r>
    </w:p>
    <w:p w14:paraId="20AD1D61" w14:textId="4ADCCFC2" w:rsidR="00622062" w:rsidRDefault="003A418A" w:rsidP="00622062">
      <w:pPr>
        <w:tabs>
          <w:tab w:val="left" w:pos="709"/>
          <w:tab w:val="left" w:pos="2835"/>
          <w:tab w:val="left" w:pos="6426"/>
          <w:tab w:val="right" w:pos="8505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VZR </w:t>
      </w:r>
      <w:r w:rsidR="00BB7ED7">
        <w:rPr>
          <w:rFonts w:ascii="Arial" w:hAnsi="Arial"/>
          <w:sz w:val="22"/>
        </w:rPr>
        <w:t>18</w:t>
      </w:r>
      <w:r w:rsidR="00225C5C">
        <w:rPr>
          <w:rFonts w:ascii="Arial" w:hAnsi="Arial"/>
          <w:sz w:val="22"/>
        </w:rPr>
        <w:t>1976</w:t>
      </w:r>
      <w:r w:rsidR="0025610D">
        <w:rPr>
          <w:rFonts w:ascii="Arial" w:hAnsi="Arial"/>
          <w:sz w:val="22"/>
        </w:rPr>
        <w:tab/>
      </w:r>
      <w:r w:rsidR="00E07A6C">
        <w:rPr>
          <w:rFonts w:ascii="Arial" w:hAnsi="Arial"/>
          <w:sz w:val="22"/>
        </w:rPr>
        <w:tab/>
      </w:r>
      <w:r w:rsidR="00707E9E">
        <w:rPr>
          <w:rFonts w:ascii="Arial" w:hAnsi="Arial"/>
          <w:sz w:val="22"/>
        </w:rPr>
        <w:fldChar w:fldCharType="begin"/>
      </w:r>
      <w:r w:rsidR="00707E9E">
        <w:rPr>
          <w:rFonts w:ascii="Arial" w:hAnsi="Arial"/>
          <w:sz w:val="22"/>
        </w:rPr>
        <w:instrText xml:space="preserve"> TIME \@ "d MMMM yyyy" </w:instrText>
      </w:r>
      <w:r w:rsidR="00707E9E">
        <w:rPr>
          <w:rFonts w:ascii="Arial" w:hAnsi="Arial"/>
          <w:sz w:val="22"/>
        </w:rPr>
        <w:fldChar w:fldCharType="separate"/>
      </w:r>
      <w:r w:rsidR="00786D3E">
        <w:rPr>
          <w:rFonts w:ascii="Arial" w:hAnsi="Arial"/>
          <w:noProof/>
          <w:sz w:val="22"/>
        </w:rPr>
        <w:t>30 juli 2018</w:t>
      </w:r>
      <w:r w:rsidR="00707E9E">
        <w:rPr>
          <w:rFonts w:ascii="Arial" w:hAnsi="Arial"/>
          <w:sz w:val="22"/>
        </w:rPr>
        <w:fldChar w:fldCharType="end"/>
      </w:r>
    </w:p>
    <w:p w14:paraId="2C4CE88F" w14:textId="77777777" w:rsidR="00622062" w:rsidRDefault="00622062" w:rsidP="00622062">
      <w:pPr>
        <w:spacing w:line="260" w:lineRule="atLeast"/>
        <w:rPr>
          <w:rFonts w:ascii="Arial" w:hAnsi="Arial"/>
          <w:sz w:val="22"/>
        </w:rPr>
      </w:pPr>
    </w:p>
    <w:p w14:paraId="1D827305" w14:textId="77777777" w:rsidR="00622062" w:rsidRDefault="00622062" w:rsidP="00622062">
      <w:pPr>
        <w:spacing w:line="260" w:lineRule="atLeast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>Betreft</w:t>
      </w:r>
    </w:p>
    <w:p w14:paraId="30833BB8" w14:textId="77777777" w:rsidR="00FC5F96" w:rsidRDefault="00622062" w:rsidP="00622062">
      <w:pPr>
        <w:rPr>
          <w:rFonts w:ascii="Arial" w:hAnsi="Arial" w:cs="Arial"/>
        </w:rPr>
      </w:pPr>
      <w:r w:rsidRPr="0036397F">
        <w:rPr>
          <w:rFonts w:ascii="Arial" w:hAnsi="Arial" w:cs="Arial"/>
        </w:rPr>
        <w:t>PERSBERICHT</w:t>
      </w:r>
      <w:r w:rsidR="00FC5F96">
        <w:rPr>
          <w:rFonts w:ascii="Arial" w:hAnsi="Arial" w:cs="Arial"/>
        </w:rPr>
        <w:t>:</w:t>
      </w:r>
    </w:p>
    <w:p w14:paraId="3596BE76" w14:textId="77777777" w:rsidR="00D81647" w:rsidRPr="009F1CA7" w:rsidRDefault="00D81647" w:rsidP="00622062">
      <w:pPr>
        <w:rPr>
          <w:rFonts w:ascii="Arial" w:hAnsi="Arial" w:cs="Arial"/>
          <w:b/>
          <w:sz w:val="28"/>
          <w:szCs w:val="28"/>
        </w:rPr>
      </w:pPr>
    </w:p>
    <w:p w14:paraId="73158CAE" w14:textId="77777777" w:rsidR="00A14A8D" w:rsidRPr="003630A5" w:rsidRDefault="00225C5C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Leaseauto </w:t>
      </w:r>
      <w:r w:rsidR="00DD1BEF">
        <w:rPr>
          <w:rFonts w:ascii="Arial" w:hAnsi="Arial" w:cs="Arial"/>
          <w:b/>
          <w:sz w:val="28"/>
          <w:szCs w:val="28"/>
        </w:rPr>
        <w:t>gaat vaak mee op vakantie</w:t>
      </w:r>
      <w:r w:rsidR="00693099">
        <w:rPr>
          <w:rFonts w:ascii="Arial" w:hAnsi="Arial" w:cs="Arial"/>
          <w:b/>
          <w:sz w:val="28"/>
          <w:szCs w:val="28"/>
        </w:rPr>
        <w:t xml:space="preserve">, behalve </w:t>
      </w:r>
      <w:r w:rsidR="001F4C3B">
        <w:rPr>
          <w:rFonts w:ascii="Arial" w:hAnsi="Arial" w:cs="Arial"/>
          <w:b/>
          <w:sz w:val="28"/>
          <w:szCs w:val="28"/>
        </w:rPr>
        <w:t xml:space="preserve">een </w:t>
      </w:r>
      <w:r w:rsidR="00693099">
        <w:rPr>
          <w:rFonts w:ascii="Arial" w:hAnsi="Arial" w:cs="Arial"/>
          <w:b/>
          <w:sz w:val="28"/>
          <w:szCs w:val="28"/>
        </w:rPr>
        <w:t>elektrische</w:t>
      </w:r>
    </w:p>
    <w:p w14:paraId="1CC2EAEC" w14:textId="77777777" w:rsidR="00A14A8D" w:rsidRPr="003630A5" w:rsidRDefault="00A14A8D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7CBB0F03" w14:textId="7DAA678E" w:rsidR="00DD1BEF" w:rsidRDefault="00225C5C" w:rsidP="00AF62EB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 auto van de zaak </w:t>
      </w:r>
      <w:r w:rsidR="00DD1BEF">
        <w:rPr>
          <w:rFonts w:ascii="Arial" w:hAnsi="Arial" w:cs="Arial"/>
          <w:b/>
          <w:sz w:val="22"/>
        </w:rPr>
        <w:t xml:space="preserve">die </w:t>
      </w:r>
      <w:r w:rsidR="001F4C3B">
        <w:rPr>
          <w:rFonts w:ascii="Arial" w:hAnsi="Arial" w:cs="Arial"/>
          <w:b/>
          <w:sz w:val="22"/>
        </w:rPr>
        <w:t>privé</w:t>
      </w:r>
      <w:r w:rsidR="00DD1BEF">
        <w:rPr>
          <w:rFonts w:ascii="Arial" w:hAnsi="Arial" w:cs="Arial"/>
          <w:b/>
          <w:sz w:val="22"/>
        </w:rPr>
        <w:t xml:space="preserve"> gebruikt mag worden, wordt in 6</w:t>
      </w:r>
      <w:r w:rsidR="00786D3E">
        <w:rPr>
          <w:rFonts w:ascii="Arial" w:hAnsi="Arial" w:cs="Arial"/>
          <w:b/>
          <w:sz w:val="22"/>
        </w:rPr>
        <w:t>8</w:t>
      </w:r>
      <w:r w:rsidR="00DD1BEF">
        <w:rPr>
          <w:rFonts w:ascii="Arial" w:hAnsi="Arial" w:cs="Arial"/>
          <w:b/>
          <w:sz w:val="22"/>
        </w:rPr>
        <w:t xml:space="preserve">% van de gevallen ook gebruikt om mee op vakantie te gaan. Een uitzondering </w:t>
      </w:r>
      <w:r w:rsidR="001F4C3B">
        <w:rPr>
          <w:rFonts w:ascii="Arial" w:hAnsi="Arial" w:cs="Arial"/>
          <w:b/>
          <w:sz w:val="22"/>
        </w:rPr>
        <w:t xml:space="preserve">hierop </w:t>
      </w:r>
      <w:r w:rsidR="00DD1BEF">
        <w:rPr>
          <w:rFonts w:ascii="Arial" w:hAnsi="Arial" w:cs="Arial"/>
          <w:b/>
          <w:sz w:val="22"/>
        </w:rPr>
        <w:t xml:space="preserve">vormen de volledig elektrische auto’s. </w:t>
      </w:r>
    </w:p>
    <w:p w14:paraId="2F3BD788" w14:textId="77777777" w:rsidR="00DD1BEF" w:rsidRDefault="00DD1BEF" w:rsidP="00AF62EB">
      <w:pPr>
        <w:shd w:val="clear" w:color="auto" w:fill="FFFFFF"/>
        <w:rPr>
          <w:rFonts w:ascii="Arial" w:hAnsi="Arial" w:cs="Arial"/>
          <w:b/>
          <w:sz w:val="22"/>
        </w:rPr>
      </w:pPr>
    </w:p>
    <w:p w14:paraId="25C8568C" w14:textId="62477885" w:rsidR="007D2092" w:rsidRDefault="005119A7" w:rsidP="00AF62EB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Vereniging Zakelijke Rijders (</w:t>
      </w:r>
      <w:r w:rsidR="00DD1BEF">
        <w:rPr>
          <w:rFonts w:ascii="Arial" w:hAnsi="Arial" w:cs="Arial"/>
          <w:sz w:val="22"/>
        </w:rPr>
        <w:t>VZR</w:t>
      </w:r>
      <w:r>
        <w:rPr>
          <w:rFonts w:ascii="Arial" w:hAnsi="Arial" w:cs="Arial"/>
          <w:sz w:val="22"/>
        </w:rPr>
        <w:t>)</w:t>
      </w:r>
      <w:r w:rsidR="00DD1BEF">
        <w:rPr>
          <w:rFonts w:ascii="Arial" w:hAnsi="Arial" w:cs="Arial"/>
          <w:sz w:val="22"/>
        </w:rPr>
        <w:t xml:space="preserve"> onderzocht onder </w:t>
      </w:r>
      <w:r w:rsidR="001F4C3B">
        <w:rPr>
          <w:rFonts w:ascii="Arial" w:hAnsi="Arial" w:cs="Arial"/>
          <w:sz w:val="22"/>
        </w:rPr>
        <w:t>ruim</w:t>
      </w:r>
      <w:r>
        <w:rPr>
          <w:rFonts w:ascii="Arial" w:hAnsi="Arial" w:cs="Arial"/>
          <w:sz w:val="22"/>
        </w:rPr>
        <w:t xml:space="preserve"> </w:t>
      </w:r>
      <w:r w:rsidR="00DD1BEF">
        <w:rPr>
          <w:rFonts w:ascii="Arial" w:hAnsi="Arial" w:cs="Arial"/>
          <w:sz w:val="22"/>
        </w:rPr>
        <w:t xml:space="preserve">1.500 zakelijke rijders hoe zij </w:t>
      </w:r>
      <w:r w:rsidR="00693099">
        <w:rPr>
          <w:rFonts w:ascii="Arial" w:hAnsi="Arial" w:cs="Arial"/>
          <w:sz w:val="22"/>
        </w:rPr>
        <w:t xml:space="preserve">hun zakenauto </w:t>
      </w:r>
      <w:r w:rsidR="001F4C3B">
        <w:rPr>
          <w:rFonts w:ascii="Arial" w:hAnsi="Arial" w:cs="Arial"/>
          <w:sz w:val="22"/>
        </w:rPr>
        <w:t>privé</w:t>
      </w:r>
      <w:r w:rsidR="00DD1BEF">
        <w:rPr>
          <w:rFonts w:ascii="Arial" w:hAnsi="Arial" w:cs="Arial"/>
          <w:sz w:val="22"/>
        </w:rPr>
        <w:t xml:space="preserve"> gebruiken. De auto van de zaak is </w:t>
      </w:r>
      <w:r w:rsidR="001F4C3B">
        <w:rPr>
          <w:rFonts w:ascii="Arial" w:hAnsi="Arial" w:cs="Arial"/>
          <w:sz w:val="22"/>
        </w:rPr>
        <w:t xml:space="preserve">namelijk </w:t>
      </w:r>
      <w:r w:rsidR="00DD1BEF">
        <w:rPr>
          <w:rFonts w:ascii="Arial" w:hAnsi="Arial" w:cs="Arial"/>
          <w:sz w:val="22"/>
        </w:rPr>
        <w:t xml:space="preserve">een belangrijk onderdeel van de hele gezinsmobiliteit. </w:t>
      </w:r>
      <w:r w:rsidR="00DD1BEF">
        <w:rPr>
          <w:rFonts w:ascii="Arial" w:hAnsi="Arial" w:cs="Arial"/>
          <w:b/>
          <w:sz w:val="22"/>
        </w:rPr>
        <w:t>Een berijder besteed</w:t>
      </w:r>
      <w:r w:rsidR="00773A46">
        <w:rPr>
          <w:rFonts w:ascii="Arial" w:hAnsi="Arial" w:cs="Arial"/>
          <w:b/>
          <w:sz w:val="22"/>
        </w:rPr>
        <w:t>t</w:t>
      </w:r>
      <w:r w:rsidR="00DD1BEF">
        <w:rPr>
          <w:rFonts w:ascii="Arial" w:hAnsi="Arial" w:cs="Arial"/>
          <w:b/>
          <w:sz w:val="22"/>
        </w:rPr>
        <w:t xml:space="preserve"> gemiddeld 8% van zijn nettosalaris aan bijtelling. </w:t>
      </w:r>
      <w:r w:rsidR="00DD1BEF">
        <w:rPr>
          <w:rFonts w:ascii="Arial" w:hAnsi="Arial" w:cs="Arial"/>
          <w:sz w:val="22"/>
        </w:rPr>
        <w:t xml:space="preserve">De zakelijke rijder betaalt fors voor het </w:t>
      </w:r>
      <w:r w:rsidR="001F4C3B">
        <w:rPr>
          <w:rFonts w:ascii="Arial" w:hAnsi="Arial" w:cs="Arial"/>
          <w:sz w:val="22"/>
        </w:rPr>
        <w:t>privé</w:t>
      </w:r>
      <w:r w:rsidR="00DD1BEF">
        <w:rPr>
          <w:rFonts w:ascii="Arial" w:hAnsi="Arial" w:cs="Arial"/>
          <w:sz w:val="22"/>
        </w:rPr>
        <w:t xml:space="preserve">gebruik van de leaseauto en gebruikt deze auto dan ook voor uiteenlopende </w:t>
      </w:r>
      <w:r w:rsidR="001F4C3B">
        <w:rPr>
          <w:rFonts w:ascii="Arial" w:hAnsi="Arial" w:cs="Arial"/>
          <w:sz w:val="22"/>
        </w:rPr>
        <w:t>privé</w:t>
      </w:r>
      <w:r w:rsidR="00DD1BEF">
        <w:rPr>
          <w:rFonts w:ascii="Arial" w:hAnsi="Arial" w:cs="Arial"/>
          <w:sz w:val="22"/>
        </w:rPr>
        <w:t>doeleinden</w:t>
      </w:r>
      <w:r>
        <w:rPr>
          <w:rFonts w:ascii="Arial" w:hAnsi="Arial" w:cs="Arial"/>
          <w:sz w:val="22"/>
        </w:rPr>
        <w:t>,</w:t>
      </w:r>
      <w:r w:rsidR="00DD1BEF">
        <w:rPr>
          <w:rFonts w:ascii="Arial" w:hAnsi="Arial" w:cs="Arial"/>
          <w:sz w:val="22"/>
        </w:rPr>
        <w:t xml:space="preserve"> waaronder de vakantiekilometers. </w:t>
      </w:r>
      <w:r w:rsidR="00AF5BC1">
        <w:rPr>
          <w:rFonts w:ascii="Arial" w:hAnsi="Arial" w:cs="Arial"/>
          <w:sz w:val="22"/>
        </w:rPr>
        <w:t xml:space="preserve">De bijtelling is immers al betaald. VZR </w:t>
      </w:r>
      <w:r w:rsidR="00EA4BAA">
        <w:rPr>
          <w:rFonts w:ascii="Arial" w:hAnsi="Arial" w:cs="Arial"/>
          <w:sz w:val="22"/>
        </w:rPr>
        <w:t xml:space="preserve">geeft de berijder hierin groot gelijk. VZR </w:t>
      </w:r>
      <w:r w:rsidR="00AF5BC1">
        <w:rPr>
          <w:rFonts w:ascii="Arial" w:hAnsi="Arial" w:cs="Arial"/>
          <w:sz w:val="22"/>
        </w:rPr>
        <w:t xml:space="preserve">pleit al jaren voor het </w:t>
      </w:r>
      <w:proofErr w:type="spellStart"/>
      <w:r w:rsidR="00AF5BC1">
        <w:rPr>
          <w:rFonts w:ascii="Arial" w:hAnsi="Arial" w:cs="Arial"/>
          <w:sz w:val="22"/>
        </w:rPr>
        <w:t>variabiliseren</w:t>
      </w:r>
      <w:proofErr w:type="spellEnd"/>
      <w:r w:rsidR="00AF5BC1">
        <w:rPr>
          <w:rFonts w:ascii="Arial" w:hAnsi="Arial" w:cs="Arial"/>
          <w:sz w:val="22"/>
        </w:rPr>
        <w:t xml:space="preserve"> van de bijtelling. </w:t>
      </w:r>
      <w:r w:rsidR="00EA4BAA">
        <w:rPr>
          <w:rFonts w:ascii="Arial" w:hAnsi="Arial" w:cs="Arial"/>
          <w:sz w:val="22"/>
        </w:rPr>
        <w:t>Zolang dit geen gehoor vindt is het logisch dat de auto</w:t>
      </w:r>
      <w:r>
        <w:rPr>
          <w:rFonts w:ascii="Arial" w:hAnsi="Arial" w:cs="Arial"/>
          <w:sz w:val="22"/>
        </w:rPr>
        <w:t>,</w:t>
      </w:r>
      <w:r w:rsidR="00EA4BAA">
        <w:rPr>
          <w:rFonts w:ascii="Arial" w:hAnsi="Arial" w:cs="Arial"/>
          <w:sz w:val="22"/>
        </w:rPr>
        <w:t xml:space="preserve"> waar </w:t>
      </w:r>
      <w:r w:rsidR="007C5C4F">
        <w:rPr>
          <w:rFonts w:ascii="Arial" w:hAnsi="Arial" w:cs="Arial"/>
          <w:sz w:val="22"/>
        </w:rPr>
        <w:t xml:space="preserve">bijtelling </w:t>
      </w:r>
      <w:r w:rsidR="00EA4BAA">
        <w:rPr>
          <w:rFonts w:ascii="Arial" w:hAnsi="Arial" w:cs="Arial"/>
          <w:sz w:val="22"/>
        </w:rPr>
        <w:t>voor betaald is</w:t>
      </w:r>
      <w:r>
        <w:rPr>
          <w:rFonts w:ascii="Arial" w:hAnsi="Arial" w:cs="Arial"/>
          <w:sz w:val="22"/>
        </w:rPr>
        <w:t>,</w:t>
      </w:r>
      <w:r w:rsidR="00EA4BAA">
        <w:rPr>
          <w:rFonts w:ascii="Arial" w:hAnsi="Arial" w:cs="Arial"/>
          <w:sz w:val="22"/>
        </w:rPr>
        <w:t xml:space="preserve"> maximaal </w:t>
      </w:r>
      <w:r w:rsidR="007C5C4F">
        <w:rPr>
          <w:rFonts w:ascii="Arial" w:hAnsi="Arial" w:cs="Arial"/>
          <w:sz w:val="22"/>
        </w:rPr>
        <w:t xml:space="preserve">gebruikt </w:t>
      </w:r>
      <w:r w:rsidR="00EA4BAA">
        <w:rPr>
          <w:rFonts w:ascii="Arial" w:hAnsi="Arial" w:cs="Arial"/>
          <w:sz w:val="22"/>
        </w:rPr>
        <w:t>wordt</w:t>
      </w:r>
      <w:r w:rsidR="007C5C4F">
        <w:rPr>
          <w:rFonts w:ascii="Arial" w:hAnsi="Arial" w:cs="Arial"/>
          <w:sz w:val="22"/>
        </w:rPr>
        <w:t>.</w:t>
      </w:r>
    </w:p>
    <w:p w14:paraId="11AD000B" w14:textId="77777777" w:rsidR="00DD1BEF" w:rsidRPr="00DD1BEF" w:rsidRDefault="00DD1BEF" w:rsidP="00AF62EB">
      <w:pPr>
        <w:shd w:val="clear" w:color="auto" w:fill="FFFFFF"/>
        <w:rPr>
          <w:rFonts w:ascii="Arial" w:hAnsi="Arial" w:cs="Arial"/>
          <w:sz w:val="22"/>
        </w:rPr>
      </w:pPr>
    </w:p>
    <w:p w14:paraId="34E76EE7" w14:textId="77777777" w:rsidR="00DD1BEF" w:rsidRPr="00D56341" w:rsidRDefault="00DD1BEF" w:rsidP="00DD1BEF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Volledig elektrische auto’s gaan niet op vakantie</w:t>
      </w:r>
    </w:p>
    <w:p w14:paraId="2D9663A5" w14:textId="77777777" w:rsidR="004C71DA" w:rsidRDefault="00DD1BEF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Een uitzondering op de regel vormen de volledig elektrische auto’s. Deze worden met 27% aanzienlijk minder gebruikt om op vakantie te gaan. Dit heeft uiteraard te maken met het ontbreken van een goede oplaadinfrastructuur in </w:t>
      </w:r>
      <w:r w:rsidR="00AF5BC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uropa en de beperkte actieradius van deze auto’s</w:t>
      </w:r>
      <w:r w:rsidR="00AF5BC1">
        <w:rPr>
          <w:rFonts w:ascii="Arial" w:hAnsi="Arial" w:cs="Arial"/>
          <w:sz w:val="22"/>
        </w:rPr>
        <w:t>.</w:t>
      </w:r>
    </w:p>
    <w:p w14:paraId="7D796E9B" w14:textId="77777777" w:rsidR="002B0F91" w:rsidRDefault="002B0F91" w:rsidP="00A14A8D">
      <w:pPr>
        <w:shd w:val="clear" w:color="auto" w:fill="FFFFFF"/>
        <w:rPr>
          <w:rFonts w:ascii="Arial" w:hAnsi="Arial" w:cs="Arial"/>
          <w:sz w:val="22"/>
        </w:rPr>
      </w:pPr>
    </w:p>
    <w:p w14:paraId="36951CF5" w14:textId="77777777" w:rsidR="009633A7" w:rsidRPr="00A42135" w:rsidRDefault="00544659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7DDBC699" wp14:editId="29B315F4">
            <wp:extent cx="4568825" cy="2740025"/>
            <wp:effectExtent l="0" t="0" r="3175" b="317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14:paraId="1184A52B" w14:textId="77777777" w:rsidR="00225C5C" w:rsidRPr="003921A3" w:rsidRDefault="00225C5C" w:rsidP="00A14A8D">
      <w:pPr>
        <w:shd w:val="clear" w:color="auto" w:fill="FFFFFF"/>
        <w:rPr>
          <w:rFonts w:ascii="Arial" w:hAnsi="Arial" w:cs="Arial"/>
          <w:b/>
          <w:color w:val="808080"/>
          <w:sz w:val="16"/>
          <w:szCs w:val="16"/>
        </w:rPr>
      </w:pPr>
      <w:r w:rsidRPr="003921A3">
        <w:rPr>
          <w:rFonts w:ascii="Arial" w:hAnsi="Arial" w:cs="Arial"/>
          <w:b/>
          <w:color w:val="808080"/>
          <w:sz w:val="16"/>
          <w:szCs w:val="16"/>
        </w:rPr>
        <w:t>Bron: VZR</w:t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</w:r>
      <w:r w:rsidRPr="003921A3">
        <w:rPr>
          <w:rFonts w:ascii="Arial" w:hAnsi="Arial" w:cs="Arial"/>
          <w:b/>
          <w:color w:val="808080"/>
          <w:sz w:val="16"/>
          <w:szCs w:val="16"/>
        </w:rPr>
        <w:tab/>
        <w:t>N: 1571</w:t>
      </w:r>
    </w:p>
    <w:p w14:paraId="28C12502" w14:textId="77777777" w:rsidR="00225C5C" w:rsidRDefault="00225C5C" w:rsidP="00A14A8D">
      <w:pPr>
        <w:shd w:val="clear" w:color="auto" w:fill="FFFFFF"/>
        <w:rPr>
          <w:rFonts w:ascii="Arial" w:hAnsi="Arial" w:cs="Arial"/>
          <w:b/>
          <w:sz w:val="22"/>
        </w:rPr>
      </w:pPr>
    </w:p>
    <w:p w14:paraId="14B59505" w14:textId="18E8E57F" w:rsidR="00EA4BAA" w:rsidRDefault="005119A7" w:rsidP="00EA4BAA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Daarnaast is het vaak</w:t>
      </w:r>
      <w:r w:rsidR="00AF5BC1">
        <w:rPr>
          <w:rFonts w:ascii="Arial" w:hAnsi="Arial" w:cs="Arial"/>
          <w:sz w:val="22"/>
        </w:rPr>
        <w:t xml:space="preserve"> bij elektrische auto’s ook niet toegestaan om een trekhaak te monteren</w:t>
      </w:r>
      <w:r w:rsidR="007C5C4F">
        <w:rPr>
          <w:rFonts w:ascii="Arial" w:hAnsi="Arial" w:cs="Arial"/>
          <w:sz w:val="22"/>
        </w:rPr>
        <w:t>,</w:t>
      </w:r>
      <w:r w:rsidR="00EC3445">
        <w:rPr>
          <w:rFonts w:ascii="Arial" w:hAnsi="Arial" w:cs="Arial"/>
          <w:sz w:val="22"/>
        </w:rPr>
        <w:t xml:space="preserve"> omdat de meeste elektrische auto’s </w:t>
      </w:r>
      <w:r w:rsidR="007C5C4F">
        <w:rPr>
          <w:rFonts w:ascii="Arial" w:hAnsi="Arial" w:cs="Arial"/>
          <w:sz w:val="22"/>
        </w:rPr>
        <w:t xml:space="preserve">geen of een </w:t>
      </w:r>
      <w:r w:rsidR="00EC3445">
        <w:rPr>
          <w:rFonts w:ascii="Arial" w:hAnsi="Arial" w:cs="Arial"/>
          <w:sz w:val="22"/>
        </w:rPr>
        <w:t>beperkt trekgewicht hebben</w:t>
      </w:r>
      <w:r w:rsidR="00AF5BC1">
        <w:rPr>
          <w:rFonts w:ascii="Arial" w:hAnsi="Arial" w:cs="Arial"/>
          <w:sz w:val="22"/>
        </w:rPr>
        <w:t xml:space="preserve">. De caravan </w:t>
      </w:r>
      <w:r w:rsidR="007C5C4F">
        <w:rPr>
          <w:rFonts w:ascii="Arial" w:hAnsi="Arial" w:cs="Arial"/>
          <w:sz w:val="22"/>
        </w:rPr>
        <w:t xml:space="preserve">is </w:t>
      </w:r>
      <w:r w:rsidR="00EA4BAA">
        <w:rPr>
          <w:rFonts w:ascii="Arial" w:hAnsi="Arial" w:cs="Arial"/>
          <w:sz w:val="22"/>
        </w:rPr>
        <w:t>dus</w:t>
      </w:r>
      <w:r w:rsidR="00AF5BC1">
        <w:rPr>
          <w:rFonts w:ascii="Arial" w:hAnsi="Arial" w:cs="Arial"/>
          <w:sz w:val="22"/>
        </w:rPr>
        <w:t xml:space="preserve"> vaak geen optie voor berijders van een elektrische auto. </w:t>
      </w:r>
      <w:r w:rsidR="00DD22CB">
        <w:rPr>
          <w:rFonts w:ascii="Arial" w:hAnsi="Arial" w:cs="Arial"/>
          <w:sz w:val="22"/>
        </w:rPr>
        <w:t>Je zou veronderstellen dat b</w:t>
      </w:r>
      <w:r w:rsidR="00DD1BEF">
        <w:rPr>
          <w:rFonts w:ascii="Arial" w:hAnsi="Arial" w:cs="Arial"/>
          <w:sz w:val="22"/>
        </w:rPr>
        <w:t>erijders van een volledig elektrische auto</w:t>
      </w:r>
      <w:r w:rsidR="00EA4BAA">
        <w:rPr>
          <w:rFonts w:ascii="Arial" w:hAnsi="Arial" w:cs="Arial"/>
          <w:sz w:val="22"/>
        </w:rPr>
        <w:t>’</w:t>
      </w:r>
      <w:r w:rsidR="00DD1BEF">
        <w:rPr>
          <w:rFonts w:ascii="Arial" w:hAnsi="Arial" w:cs="Arial"/>
          <w:sz w:val="22"/>
        </w:rPr>
        <w:t xml:space="preserve">s </w:t>
      </w:r>
      <w:r w:rsidR="00EA4BAA">
        <w:rPr>
          <w:rFonts w:ascii="Arial" w:hAnsi="Arial" w:cs="Arial"/>
          <w:sz w:val="22"/>
        </w:rPr>
        <w:t xml:space="preserve">daarom </w:t>
      </w:r>
      <w:r w:rsidR="00AF5BC1">
        <w:rPr>
          <w:rFonts w:ascii="Arial" w:hAnsi="Arial" w:cs="Arial"/>
          <w:sz w:val="22"/>
        </w:rPr>
        <w:t>relatief vaker in eigen land</w:t>
      </w:r>
      <w:r w:rsidR="00DD1BEF">
        <w:rPr>
          <w:rFonts w:ascii="Arial" w:hAnsi="Arial" w:cs="Arial"/>
          <w:sz w:val="22"/>
        </w:rPr>
        <w:t xml:space="preserve"> </w:t>
      </w:r>
      <w:r w:rsidR="00DD22CB">
        <w:rPr>
          <w:rFonts w:ascii="Arial" w:hAnsi="Arial" w:cs="Arial"/>
          <w:sz w:val="22"/>
        </w:rPr>
        <w:t xml:space="preserve">blijven </w:t>
      </w:r>
      <w:r w:rsidR="00DD1BEF">
        <w:rPr>
          <w:rFonts w:ascii="Arial" w:hAnsi="Arial" w:cs="Arial"/>
          <w:sz w:val="22"/>
        </w:rPr>
        <w:t>of het vliegtuig</w:t>
      </w:r>
      <w:r w:rsidR="00DD22CB">
        <w:rPr>
          <w:rFonts w:ascii="Arial" w:hAnsi="Arial" w:cs="Arial"/>
          <w:sz w:val="22"/>
        </w:rPr>
        <w:t xml:space="preserve"> nemen</w:t>
      </w:r>
      <w:r w:rsidR="00EA4BAA">
        <w:rPr>
          <w:rFonts w:ascii="Arial" w:hAnsi="Arial" w:cs="Arial"/>
          <w:sz w:val="22"/>
        </w:rPr>
        <w:t xml:space="preserve">, hier is echter geen indicatie van gevonden. </w:t>
      </w:r>
    </w:p>
    <w:p w14:paraId="1522ABBF" w14:textId="77777777" w:rsidR="00EA4BAA" w:rsidRDefault="00EA4BAA" w:rsidP="00EA4BAA">
      <w:pPr>
        <w:shd w:val="clear" w:color="auto" w:fill="FFFFFF"/>
        <w:rPr>
          <w:rFonts w:ascii="Arial" w:hAnsi="Arial" w:cs="Arial"/>
          <w:b/>
          <w:sz w:val="22"/>
        </w:rPr>
      </w:pPr>
    </w:p>
    <w:p w14:paraId="6E238A70" w14:textId="77777777" w:rsidR="00EA4BAA" w:rsidRPr="00D56341" w:rsidRDefault="00EA4BAA" w:rsidP="00EA4BAA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Op vakantie gaan met de auto is belangrijk</w:t>
      </w:r>
    </w:p>
    <w:p w14:paraId="6482D289" w14:textId="39B8F95A" w:rsidR="00D83ADF" w:rsidRDefault="000507F0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81</w:t>
      </w:r>
      <w:r w:rsidR="00DD22CB">
        <w:rPr>
          <w:rFonts w:ascii="Arial" w:hAnsi="Arial" w:cs="Arial"/>
          <w:sz w:val="22"/>
        </w:rPr>
        <w:t>% van de berijders met een elektrische auto heeft een tweede auto in het gezin</w:t>
      </w:r>
      <w:r w:rsidR="00EA4BAA">
        <w:rPr>
          <w:rFonts w:ascii="Arial" w:hAnsi="Arial" w:cs="Arial"/>
          <w:sz w:val="22"/>
        </w:rPr>
        <w:t xml:space="preserve">. Dit is </w:t>
      </w:r>
      <w:r w:rsidR="007C5C4F">
        <w:rPr>
          <w:rFonts w:ascii="Arial" w:hAnsi="Arial" w:cs="Arial"/>
          <w:sz w:val="22"/>
        </w:rPr>
        <w:t xml:space="preserve">meer </w:t>
      </w:r>
      <w:r w:rsidR="005119A7">
        <w:rPr>
          <w:rFonts w:ascii="Arial" w:hAnsi="Arial" w:cs="Arial"/>
          <w:sz w:val="22"/>
        </w:rPr>
        <w:t xml:space="preserve">dan bij </w:t>
      </w:r>
      <w:r w:rsidR="00EA4BAA">
        <w:rPr>
          <w:rFonts w:ascii="Arial" w:hAnsi="Arial" w:cs="Arial"/>
          <w:sz w:val="22"/>
        </w:rPr>
        <w:t>de niet-elektrische rijders. Zij hebben dus vaak een alternatief</w:t>
      </w:r>
      <w:r w:rsidR="005119A7">
        <w:rPr>
          <w:rFonts w:ascii="Arial" w:hAnsi="Arial" w:cs="Arial"/>
          <w:sz w:val="22"/>
        </w:rPr>
        <w:t>.</w:t>
      </w:r>
    </w:p>
    <w:p w14:paraId="09D3C8AF" w14:textId="77777777" w:rsidR="00D83ADF" w:rsidRDefault="00D83ADF" w:rsidP="00A14A8D">
      <w:pPr>
        <w:shd w:val="clear" w:color="auto" w:fill="FFFFFF"/>
        <w:rPr>
          <w:rFonts w:ascii="Arial" w:hAnsi="Arial" w:cs="Arial"/>
          <w:sz w:val="22"/>
        </w:rPr>
      </w:pPr>
    </w:p>
    <w:p w14:paraId="1CC69F2B" w14:textId="77777777" w:rsidR="00EA4BAA" w:rsidRDefault="00544659" w:rsidP="00A14A8D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 wp14:anchorId="18C0C42B" wp14:editId="3632525B">
            <wp:extent cx="4568825" cy="2581275"/>
            <wp:effectExtent l="0" t="0" r="0" b="0"/>
            <wp:docPr id="2" name="Grafi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D4F3F0" w14:textId="77777777" w:rsidR="00EA4BAA" w:rsidRDefault="00EA4BAA" w:rsidP="00A14A8D">
      <w:pPr>
        <w:shd w:val="clear" w:color="auto" w:fill="FFFFFF"/>
        <w:rPr>
          <w:rFonts w:ascii="Arial" w:hAnsi="Arial" w:cs="Arial"/>
          <w:sz w:val="22"/>
        </w:rPr>
      </w:pPr>
    </w:p>
    <w:p w14:paraId="269F0452" w14:textId="77777777" w:rsidR="00BB5DCA" w:rsidRPr="004F596F" w:rsidRDefault="00EA4BAA" w:rsidP="004F596F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Het valt op dat de tweede auto van berijders van een elektrische auto, bovengemiddeld geschikt is voor een autovakantie. </w:t>
      </w:r>
      <w:r w:rsidR="004F596F">
        <w:rPr>
          <w:rFonts w:ascii="Arial" w:hAnsi="Arial" w:cs="Arial"/>
          <w:sz w:val="22"/>
        </w:rPr>
        <w:br/>
      </w:r>
    </w:p>
    <w:tbl>
      <w:tblPr>
        <w:tblW w:w="5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660"/>
        <w:gridCol w:w="1660"/>
        <w:gridCol w:w="960"/>
      </w:tblGrid>
      <w:tr w:rsidR="00BB5DCA" w:rsidRPr="00BB5DCA" w14:paraId="2EFD9B18" w14:textId="77777777" w:rsidTr="00BB5DCA">
        <w:trPr>
          <w:trHeight w:val="25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75983A" w14:textId="77777777" w:rsidR="00BB5DCA" w:rsidRPr="00BB5DCA" w:rsidRDefault="00BB5DCA">
            <w:pPr>
              <w:rPr>
                <w:sz w:val="22"/>
                <w:szCs w:val="22"/>
              </w:rPr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Merk 2e auto: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5DCC20" w14:textId="3EC1A0D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Berijders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06CC669" w14:textId="254434F2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Berijders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8047B5F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Aantal X</w:t>
            </w:r>
          </w:p>
        </w:tc>
      </w:tr>
      <w:tr w:rsidR="00BB5DCA" w:rsidRPr="00BB5DCA" w14:paraId="371A5A18" w14:textId="77777777" w:rsidTr="00BB5DC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33A84E" w14:textId="77777777" w:rsidR="00BB5DCA" w:rsidRPr="00BB5DCA" w:rsidRDefault="00BB5DCA">
            <w:r w:rsidRPr="00BB5DCA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CCA835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totaal: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205DB400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elektrische auto: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5CF2710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zo vaak:</w:t>
            </w:r>
          </w:p>
        </w:tc>
      </w:tr>
      <w:tr w:rsidR="00BB5DCA" w:rsidRPr="00BB5DCA" w14:paraId="2B5D9370" w14:textId="77777777" w:rsidTr="00BB5DC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  <w:hideMark/>
          </w:tcPr>
          <w:p w14:paraId="08FF16ED" w14:textId="77777777" w:rsidR="00BB5DCA" w:rsidRPr="00BB5DCA" w:rsidRDefault="00BB5DCA">
            <w:r w:rsidRPr="00BB5DCA">
              <w:rPr>
                <w:rFonts w:ascii="Arial" w:hAnsi="Arial" w:cs="Arial"/>
                <w:b/>
                <w:bCs/>
                <w:sz w:val="20"/>
              </w:rPr>
              <w:t>BMW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14:paraId="3D1F2B29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3,8%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E6F1"/>
            <w:vAlign w:val="center"/>
            <w:hideMark/>
          </w:tcPr>
          <w:p w14:paraId="6FC78C0C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9,8%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14:paraId="5554A57D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B5DCA" w:rsidRPr="00BB5DCA" w14:paraId="77563DC9" w14:textId="77777777" w:rsidTr="00BB5DC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  <w:hideMark/>
          </w:tcPr>
          <w:p w14:paraId="3FEE0029" w14:textId="77777777" w:rsidR="00BB5DCA" w:rsidRPr="00BB5DCA" w:rsidRDefault="00BB5DCA">
            <w:r w:rsidRPr="00BB5DCA">
              <w:rPr>
                <w:rFonts w:ascii="Arial" w:hAnsi="Arial" w:cs="Arial"/>
                <w:b/>
                <w:bCs/>
                <w:sz w:val="20"/>
              </w:rPr>
              <w:t>Audi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14:paraId="288901E2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E6F1"/>
            <w:vAlign w:val="center"/>
            <w:hideMark/>
          </w:tcPr>
          <w:p w14:paraId="2B19FE8A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7,3%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14:paraId="1F46B9E5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B5DCA" w:rsidRPr="00BB5DCA" w14:paraId="59079C5E" w14:textId="77777777" w:rsidTr="00BB5DC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  <w:hideMark/>
          </w:tcPr>
          <w:p w14:paraId="428D3FAE" w14:textId="77777777" w:rsidR="00BB5DCA" w:rsidRPr="00BB5DCA" w:rsidRDefault="00BB5DCA">
            <w:r w:rsidRPr="00BB5DCA">
              <w:rPr>
                <w:rFonts w:ascii="Arial" w:hAnsi="Arial" w:cs="Arial"/>
                <w:b/>
                <w:bCs/>
                <w:sz w:val="20"/>
              </w:rPr>
              <w:t>Land Rover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14:paraId="3FD0D333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0,4%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E6F1"/>
            <w:vAlign w:val="center"/>
            <w:hideMark/>
          </w:tcPr>
          <w:p w14:paraId="49430EF6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4,9%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14:paraId="2CA1DF7D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BB5DCA" w:rsidRPr="00BB5DCA" w14:paraId="26AB481C" w14:textId="77777777" w:rsidTr="00BB5DC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  <w:hideMark/>
          </w:tcPr>
          <w:p w14:paraId="1406B9D0" w14:textId="77777777" w:rsidR="00BB5DCA" w:rsidRPr="00BB5DCA" w:rsidRDefault="00BB5DCA">
            <w:r w:rsidRPr="00BB5DCA">
              <w:rPr>
                <w:rFonts w:ascii="Arial" w:hAnsi="Arial" w:cs="Arial"/>
                <w:b/>
                <w:bCs/>
                <w:sz w:val="20"/>
              </w:rPr>
              <w:t>Skoda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14:paraId="6113171C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E6F1"/>
            <w:vAlign w:val="center"/>
            <w:hideMark/>
          </w:tcPr>
          <w:p w14:paraId="346A7001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4,9%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14:paraId="7257A03D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BB5DCA" w:rsidRPr="00BB5DCA" w14:paraId="2EF153AA" w14:textId="77777777" w:rsidTr="00BB5DC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center"/>
            <w:hideMark/>
          </w:tcPr>
          <w:p w14:paraId="13FA2F12" w14:textId="77777777" w:rsidR="00BB5DCA" w:rsidRPr="00BB5DCA" w:rsidRDefault="00BB5DCA">
            <w:r w:rsidRPr="00BB5DCA">
              <w:rPr>
                <w:rFonts w:ascii="Arial" w:hAnsi="Arial" w:cs="Arial"/>
                <w:b/>
                <w:bCs/>
                <w:sz w:val="20"/>
              </w:rPr>
              <w:t>Subaru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14:paraId="7FEC714B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0,3%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CE6F1"/>
            <w:vAlign w:val="center"/>
            <w:hideMark/>
          </w:tcPr>
          <w:p w14:paraId="2CC34D72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2,4%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  <w:hideMark/>
          </w:tcPr>
          <w:p w14:paraId="5B7EEA5A" w14:textId="77777777" w:rsidR="00BB5DCA" w:rsidRPr="00BB5DCA" w:rsidRDefault="00BB5DCA" w:rsidP="008E1A85">
            <w:pPr>
              <w:jc w:val="center"/>
            </w:pPr>
            <w:r w:rsidRPr="00BB5DC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</w:tbl>
    <w:p w14:paraId="7B2379D8" w14:textId="77777777" w:rsidR="00EA4BAA" w:rsidRDefault="00EA4BAA" w:rsidP="00A14A8D">
      <w:pPr>
        <w:shd w:val="clear" w:color="auto" w:fill="FFFFFF"/>
        <w:rPr>
          <w:rFonts w:ascii="Arial" w:hAnsi="Arial" w:cs="Arial"/>
          <w:sz w:val="22"/>
        </w:rPr>
      </w:pPr>
    </w:p>
    <w:p w14:paraId="1B06528D" w14:textId="77777777" w:rsidR="004F596F" w:rsidRDefault="004F596F" w:rsidP="00A14A8D">
      <w:pPr>
        <w:shd w:val="clear" w:color="auto" w:fill="FFFFFF"/>
        <w:rPr>
          <w:rFonts w:ascii="Arial" w:hAnsi="Arial" w:cs="Arial"/>
          <w:sz w:val="22"/>
        </w:rPr>
      </w:pPr>
    </w:p>
    <w:p w14:paraId="493CAE1F" w14:textId="266C7731" w:rsidR="008E1A85" w:rsidRDefault="00EA4BAA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Met name de Land Rover, Skoda en Subaru staan bekend om de geschiktheid voor het trekken van een caravan. De groep elektrische rijders lost het trekhaak</w:t>
      </w:r>
      <w:r w:rsidR="00BB5DCA">
        <w:rPr>
          <w:rFonts w:ascii="Arial" w:hAnsi="Arial" w:cs="Arial"/>
          <w:sz w:val="22"/>
        </w:rPr>
        <w:t>-/actieradius</w:t>
      </w:r>
      <w:r>
        <w:rPr>
          <w:rFonts w:ascii="Arial" w:hAnsi="Arial" w:cs="Arial"/>
          <w:sz w:val="22"/>
        </w:rPr>
        <w:t xml:space="preserve">probleem dus op met de aankoop van de tweede auto in het gezin. </w:t>
      </w:r>
    </w:p>
    <w:p w14:paraId="2A256B25" w14:textId="788C23D5" w:rsidR="008E1A85" w:rsidRDefault="008E1A85" w:rsidP="00A14A8D">
      <w:pPr>
        <w:shd w:val="clear" w:color="auto" w:fill="FFFFFF"/>
        <w:rPr>
          <w:rFonts w:ascii="Arial" w:hAnsi="Arial" w:cs="Arial"/>
          <w:sz w:val="22"/>
        </w:rPr>
      </w:pPr>
    </w:p>
    <w:p w14:paraId="12688AFD" w14:textId="6EEABF81" w:rsidR="008E1A85" w:rsidRDefault="008E1A85" w:rsidP="008E1A85">
      <w:pPr>
        <w:shd w:val="clear" w:color="auto" w:fill="FFFFFF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“</w:t>
      </w:r>
      <w:r w:rsidRPr="008E1A85">
        <w:rPr>
          <w:rFonts w:ascii="Arial" w:hAnsi="Arial" w:cs="Arial"/>
          <w:i/>
          <w:sz w:val="22"/>
        </w:rPr>
        <w:t>Je buitenlandse brandstofkosten kun je declareren bij je werkgever</w:t>
      </w:r>
      <w:r>
        <w:rPr>
          <w:rFonts w:ascii="Arial" w:hAnsi="Arial" w:cs="Arial"/>
          <w:i/>
          <w:sz w:val="22"/>
        </w:rPr>
        <w:t>”</w:t>
      </w:r>
    </w:p>
    <w:p w14:paraId="3347A7D4" w14:textId="3064499B" w:rsidR="008E1A85" w:rsidRPr="008E1A85" w:rsidRDefault="008E1A85" w:rsidP="008E1A85">
      <w:pPr>
        <w:shd w:val="clear" w:color="auto" w:fill="FFFFFF"/>
        <w:jc w:val="center"/>
        <w:rPr>
          <w:rFonts w:ascii="Arial" w:hAnsi="Arial" w:cs="Arial"/>
          <w:i/>
          <w:sz w:val="22"/>
        </w:rPr>
      </w:pPr>
      <w:r w:rsidRPr="008E1A85">
        <w:rPr>
          <w:rFonts w:ascii="Arial" w:hAnsi="Arial" w:cs="Arial"/>
          <w:i/>
          <w:sz w:val="22"/>
        </w:rPr>
        <w:t>VZR-voorzitter Jan van Delft</w:t>
      </w:r>
    </w:p>
    <w:p w14:paraId="2B26782D" w14:textId="77777777" w:rsidR="008E1A85" w:rsidRDefault="008E1A85" w:rsidP="00A14A8D">
      <w:pPr>
        <w:shd w:val="clear" w:color="auto" w:fill="FFFFFF"/>
        <w:rPr>
          <w:rFonts w:ascii="Arial" w:hAnsi="Arial" w:cs="Arial"/>
          <w:b/>
          <w:sz w:val="22"/>
        </w:rPr>
      </w:pPr>
    </w:p>
    <w:p w14:paraId="5C99A118" w14:textId="7DDD1B47" w:rsidR="00DD1BEF" w:rsidRPr="00DD1BEF" w:rsidRDefault="00A80592" w:rsidP="00A14A8D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VZR-zomertip: verreken je buitenlandse brandstofkosten met je bijtelling</w:t>
      </w:r>
      <w:r w:rsidR="004F596F">
        <w:rPr>
          <w:rFonts w:ascii="Arial" w:hAnsi="Arial" w:cs="Arial"/>
          <w:b/>
          <w:sz w:val="22"/>
        </w:rPr>
        <w:t>.</w:t>
      </w:r>
      <w:r w:rsidR="00DD1BEF" w:rsidRPr="00DD1BEF">
        <w:rPr>
          <w:rFonts w:ascii="Arial" w:hAnsi="Arial" w:cs="Arial"/>
          <w:b/>
          <w:sz w:val="22"/>
        </w:rPr>
        <w:t xml:space="preserve"> </w:t>
      </w:r>
    </w:p>
    <w:p w14:paraId="0CC60690" w14:textId="77777777" w:rsidR="007E5989" w:rsidRDefault="00DD22CB" w:rsidP="00A14A8D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Meestal betalen </w:t>
      </w:r>
      <w:r w:rsidR="00BB5DCA">
        <w:rPr>
          <w:rFonts w:ascii="Arial" w:hAnsi="Arial" w:cs="Arial"/>
          <w:sz w:val="22"/>
        </w:rPr>
        <w:t xml:space="preserve">zakelijke rijders </w:t>
      </w:r>
      <w:r>
        <w:rPr>
          <w:rFonts w:ascii="Arial" w:hAnsi="Arial" w:cs="Arial"/>
          <w:sz w:val="22"/>
        </w:rPr>
        <w:t xml:space="preserve">in het buitenland zelf </w:t>
      </w:r>
      <w:r w:rsidR="00BB5DCA">
        <w:rPr>
          <w:rFonts w:ascii="Arial" w:hAnsi="Arial" w:cs="Arial"/>
          <w:sz w:val="22"/>
        </w:rPr>
        <w:t xml:space="preserve">hun </w:t>
      </w:r>
      <w:r>
        <w:rPr>
          <w:rFonts w:ascii="Arial" w:hAnsi="Arial" w:cs="Arial"/>
          <w:sz w:val="22"/>
        </w:rPr>
        <w:t xml:space="preserve">brandstofkosten. Hier is echter nog winst te behalen. Deze brandstofkosten mogen </w:t>
      </w:r>
      <w:r w:rsidR="00BB5DCA">
        <w:rPr>
          <w:rFonts w:ascii="Arial" w:hAnsi="Arial" w:cs="Arial"/>
          <w:sz w:val="22"/>
        </w:rPr>
        <w:t xml:space="preserve">worden </w:t>
      </w:r>
      <w:r>
        <w:rPr>
          <w:rFonts w:ascii="Arial" w:hAnsi="Arial" w:cs="Arial"/>
          <w:sz w:val="22"/>
        </w:rPr>
        <w:t>afgetrokken van de bijtelling. De werkgever kan dit verwerken in de salarisadministratie. Voorwaarde is wel dat dit vooraf expliciet met de werkgever overeengekomen moet zijn</w:t>
      </w:r>
      <w:r w:rsidR="00A80592">
        <w:rPr>
          <w:rFonts w:ascii="Arial" w:hAnsi="Arial" w:cs="Arial"/>
          <w:sz w:val="22"/>
        </w:rPr>
        <w:t xml:space="preserve"> via de </w:t>
      </w:r>
      <w:r w:rsidR="00BB5DCA">
        <w:rPr>
          <w:rFonts w:ascii="Arial" w:hAnsi="Arial" w:cs="Arial"/>
          <w:sz w:val="22"/>
        </w:rPr>
        <w:t>a</w:t>
      </w:r>
      <w:r w:rsidR="00A80592">
        <w:rPr>
          <w:rFonts w:ascii="Arial" w:hAnsi="Arial" w:cs="Arial"/>
          <w:sz w:val="22"/>
        </w:rPr>
        <w:t>utoregeling</w:t>
      </w:r>
      <w:r>
        <w:rPr>
          <w:rFonts w:ascii="Arial" w:hAnsi="Arial" w:cs="Arial"/>
          <w:sz w:val="22"/>
        </w:rPr>
        <w:t xml:space="preserve">. </w:t>
      </w:r>
    </w:p>
    <w:p w14:paraId="443C3396" w14:textId="77777777" w:rsidR="00824006" w:rsidRPr="009B7266" w:rsidRDefault="00824006" w:rsidP="00A14A8D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493CFA4" w14:textId="77777777"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>Over V</w:t>
      </w:r>
      <w:r>
        <w:rPr>
          <w:rFonts w:ascii="Arial" w:hAnsi="Arial" w:cs="Arial"/>
          <w:b/>
          <w:sz w:val="22"/>
          <w:szCs w:val="22"/>
        </w:rPr>
        <w:t>ereniging Zakelijke Rijders</w:t>
      </w:r>
      <w:r w:rsidRPr="009F1CA7">
        <w:rPr>
          <w:rFonts w:ascii="Arial" w:hAnsi="Arial" w:cs="Arial"/>
          <w:b/>
          <w:sz w:val="22"/>
          <w:szCs w:val="22"/>
        </w:rPr>
        <w:t>:</w:t>
      </w:r>
    </w:p>
    <w:p w14:paraId="4591B1BA" w14:textId="77777777"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 xml:space="preserve">Vereniging </w:t>
      </w:r>
      <w:r>
        <w:rPr>
          <w:rFonts w:ascii="Arial" w:hAnsi="Arial" w:cs="Arial"/>
          <w:b/>
          <w:sz w:val="22"/>
          <w:szCs w:val="22"/>
        </w:rPr>
        <w:t>Zakelijke Rijders</w:t>
      </w:r>
      <w:r w:rsidRPr="009F1CA7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VZR</w:t>
      </w:r>
      <w:r w:rsidRPr="009F1CA7">
        <w:rPr>
          <w:rFonts w:ascii="Arial" w:hAnsi="Arial" w:cs="Arial"/>
          <w:b/>
          <w:sz w:val="22"/>
          <w:szCs w:val="22"/>
        </w:rPr>
        <w:t>) is de belangenbehartiger voor berijders van een auto van de zaak. Zij zet zich in voor ruim 1</w:t>
      </w:r>
      <w:r w:rsidR="00F4131D">
        <w:rPr>
          <w:rFonts w:ascii="Arial" w:hAnsi="Arial" w:cs="Arial"/>
          <w:b/>
          <w:sz w:val="22"/>
          <w:szCs w:val="22"/>
        </w:rPr>
        <w:t>,3</w:t>
      </w:r>
      <w:r w:rsidRPr="009F1CA7">
        <w:rPr>
          <w:rFonts w:ascii="Arial" w:hAnsi="Arial" w:cs="Arial"/>
          <w:b/>
          <w:sz w:val="22"/>
          <w:szCs w:val="22"/>
        </w:rPr>
        <w:t xml:space="preserve"> miljoen mensen die over een leaseauto of an</w:t>
      </w:r>
      <w:r>
        <w:rPr>
          <w:rFonts w:ascii="Arial" w:hAnsi="Arial" w:cs="Arial"/>
          <w:b/>
          <w:sz w:val="22"/>
          <w:szCs w:val="22"/>
        </w:rPr>
        <w:t>dere auto van de zaak beschikken en voor mensen die zakelijke kilometers rijden in hun privéauto.</w:t>
      </w:r>
    </w:p>
    <w:p w14:paraId="2D665488" w14:textId="61F675B2" w:rsidR="00225C5C" w:rsidRDefault="00A14A8D" w:rsidP="005119A7">
      <w:pPr>
        <w:rPr>
          <w:rFonts w:ascii="Arial" w:hAnsi="Arial" w:cs="Arial"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lastRenderedPageBreak/>
        <w:t>Voor aanvullende informatie kunt u contact opnemen met de voorzitter:</w:t>
      </w:r>
      <w:r w:rsidR="00945B1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Jan van Delft</w:t>
      </w:r>
      <w:r w:rsidR="008317A4">
        <w:rPr>
          <w:rFonts w:ascii="Arial" w:hAnsi="Arial" w:cs="Arial"/>
          <w:b/>
          <w:sz w:val="22"/>
          <w:szCs w:val="22"/>
        </w:rPr>
        <w:t>: 06-51872274</w:t>
      </w:r>
      <w:r w:rsidR="00960AB9">
        <w:rPr>
          <w:rFonts w:ascii="Arial" w:hAnsi="Arial" w:cs="Arial"/>
          <w:b/>
          <w:sz w:val="22"/>
          <w:szCs w:val="22"/>
        </w:rPr>
        <w:t>.</w:t>
      </w:r>
    </w:p>
    <w:sectPr w:rsidR="00225C5C" w:rsidSect="00880D6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818C5" w14:textId="77777777" w:rsidR="003810E4" w:rsidRDefault="003810E4" w:rsidP="00622062">
      <w:r>
        <w:separator/>
      </w:r>
    </w:p>
  </w:endnote>
  <w:endnote w:type="continuationSeparator" w:id="0">
    <w:p w14:paraId="497E5589" w14:textId="77777777" w:rsidR="003810E4" w:rsidRDefault="003810E4" w:rsidP="006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6344" w14:textId="77777777" w:rsidR="00B76C06" w:rsidRPr="00987366" w:rsidRDefault="00B76C06">
    <w:pPr>
      <w:pStyle w:val="Voettekst"/>
      <w:rPr>
        <w:rFonts w:ascii="Calibri" w:hAnsi="Calibri"/>
        <w:color w:val="BFBFBF"/>
        <w:lang w:val="nl-NL"/>
      </w:rPr>
    </w:pPr>
    <w:r w:rsidRPr="00A75D7A">
      <w:rPr>
        <w:rFonts w:ascii="Calibri" w:hAnsi="Calibri"/>
        <w:color w:val="BFBFBF"/>
      </w:rPr>
      <w:t>www.</w:t>
    </w:r>
    <w:r>
      <w:rPr>
        <w:rFonts w:ascii="Calibri" w:hAnsi="Calibri"/>
        <w:color w:val="BFBFBF"/>
        <w:lang w:val="nl-NL"/>
      </w:rPr>
      <w:t>vzr</w:t>
    </w:r>
    <w:r w:rsidRPr="00A75D7A">
      <w:rPr>
        <w:rFonts w:ascii="Calibri" w:hAnsi="Calibri"/>
        <w:color w:val="BFBFBF"/>
      </w:rPr>
      <w:t xml:space="preserve">.nl   </w:t>
    </w:r>
    <w:r>
      <w:rPr>
        <w:rFonts w:ascii="Calibri" w:hAnsi="Calibri"/>
        <w:color w:val="BFBFBF"/>
        <w:lang w:val="nl-NL"/>
      </w:rPr>
      <w:t>Lange Dreef 8</w:t>
    </w:r>
    <w:r>
      <w:rPr>
        <w:rFonts w:ascii="Calibri" w:hAnsi="Calibri"/>
        <w:color w:val="BFBFBF"/>
      </w:rPr>
      <w:t>, 4131 NH</w:t>
    </w:r>
    <w:r w:rsidRPr="00A75D7A">
      <w:rPr>
        <w:rFonts w:ascii="Calibri" w:hAnsi="Calibri"/>
        <w:color w:val="BFBFBF"/>
      </w:rPr>
      <w:t xml:space="preserve"> Vianen  KvK. 30246214 </w:t>
    </w:r>
    <w:r>
      <w:rPr>
        <w:rFonts w:ascii="Calibri" w:hAnsi="Calibri"/>
        <w:color w:val="BFBFBF"/>
      </w:rPr>
      <w:t xml:space="preserve"> </w:t>
    </w:r>
    <w:r w:rsidRPr="00987366">
      <w:rPr>
        <w:rFonts w:ascii="Calibri" w:hAnsi="Calibri"/>
        <w:color w:val="BFBFBF"/>
      </w:rPr>
      <w:t>info@</w:t>
    </w:r>
    <w:r w:rsidRPr="00987366">
      <w:rPr>
        <w:rFonts w:ascii="Calibri" w:hAnsi="Calibri"/>
        <w:color w:val="BFBFBF"/>
        <w:lang w:val="nl-NL"/>
      </w:rPr>
      <w:t>vzr.nl</w:t>
    </w:r>
    <w:r>
      <w:rPr>
        <w:rFonts w:ascii="Calibri" w:hAnsi="Calibri"/>
        <w:color w:val="BFBFBF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E243" w14:textId="77777777" w:rsidR="003810E4" w:rsidRDefault="003810E4" w:rsidP="00622062">
      <w:r>
        <w:separator/>
      </w:r>
    </w:p>
  </w:footnote>
  <w:footnote w:type="continuationSeparator" w:id="0">
    <w:p w14:paraId="7D57AB74" w14:textId="77777777" w:rsidR="003810E4" w:rsidRDefault="003810E4" w:rsidP="0062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36F" w14:textId="77777777" w:rsidR="00B76C06" w:rsidRDefault="00544659">
    <w:pPr>
      <w:pStyle w:val="Koptekst"/>
    </w:pPr>
    <w:r>
      <w:rPr>
        <w:noProof/>
        <w:lang w:eastAsia="nl-NL"/>
      </w:rPr>
      <w:drawing>
        <wp:inline distT="0" distB="0" distL="0" distR="0" wp14:anchorId="627820EF" wp14:editId="35945E98">
          <wp:extent cx="2857500" cy="847725"/>
          <wp:effectExtent l="0" t="0" r="0" b="0"/>
          <wp:docPr id="3" name="Afbeelding 3" descr="logo-zakelijke-rijders-300x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zakelijke-rijders-300x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0BFD"/>
    <w:multiLevelType w:val="multilevel"/>
    <w:tmpl w:val="37B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62"/>
    <w:rsid w:val="00002AD2"/>
    <w:rsid w:val="00015A79"/>
    <w:rsid w:val="000305EE"/>
    <w:rsid w:val="0004405C"/>
    <w:rsid w:val="00044BE9"/>
    <w:rsid w:val="000507F0"/>
    <w:rsid w:val="00051E4D"/>
    <w:rsid w:val="00053E88"/>
    <w:rsid w:val="00060E09"/>
    <w:rsid w:val="0008765C"/>
    <w:rsid w:val="00091C26"/>
    <w:rsid w:val="00094C51"/>
    <w:rsid w:val="00094E7A"/>
    <w:rsid w:val="00097EBB"/>
    <w:rsid w:val="000A10C5"/>
    <w:rsid w:val="000A627D"/>
    <w:rsid w:val="000C3018"/>
    <w:rsid w:val="000C3299"/>
    <w:rsid w:val="000C4182"/>
    <w:rsid w:val="000C4C2A"/>
    <w:rsid w:val="000D01C5"/>
    <w:rsid w:val="000F683E"/>
    <w:rsid w:val="00104687"/>
    <w:rsid w:val="001207A5"/>
    <w:rsid w:val="00131AA2"/>
    <w:rsid w:val="001335E2"/>
    <w:rsid w:val="001339EB"/>
    <w:rsid w:val="00136890"/>
    <w:rsid w:val="001430B6"/>
    <w:rsid w:val="0014657B"/>
    <w:rsid w:val="00153142"/>
    <w:rsid w:val="00154D86"/>
    <w:rsid w:val="00161AD6"/>
    <w:rsid w:val="00163C16"/>
    <w:rsid w:val="001808F9"/>
    <w:rsid w:val="001B0FA2"/>
    <w:rsid w:val="001B5D61"/>
    <w:rsid w:val="001F4C3B"/>
    <w:rsid w:val="001F7040"/>
    <w:rsid w:val="00201296"/>
    <w:rsid w:val="00202685"/>
    <w:rsid w:val="00203888"/>
    <w:rsid w:val="00210279"/>
    <w:rsid w:val="00211BBE"/>
    <w:rsid w:val="002159FA"/>
    <w:rsid w:val="00224451"/>
    <w:rsid w:val="00225C5C"/>
    <w:rsid w:val="00236441"/>
    <w:rsid w:val="0023697B"/>
    <w:rsid w:val="00237DC7"/>
    <w:rsid w:val="00245694"/>
    <w:rsid w:val="00253C52"/>
    <w:rsid w:val="0025610D"/>
    <w:rsid w:val="00266586"/>
    <w:rsid w:val="00295E31"/>
    <w:rsid w:val="002967D4"/>
    <w:rsid w:val="002A1173"/>
    <w:rsid w:val="002A26F0"/>
    <w:rsid w:val="002A6057"/>
    <w:rsid w:val="002B0F91"/>
    <w:rsid w:val="002C1773"/>
    <w:rsid w:val="002E428C"/>
    <w:rsid w:val="002F2AA1"/>
    <w:rsid w:val="002F3E1B"/>
    <w:rsid w:val="0031770A"/>
    <w:rsid w:val="003310CF"/>
    <w:rsid w:val="00331403"/>
    <w:rsid w:val="00336468"/>
    <w:rsid w:val="00353F7E"/>
    <w:rsid w:val="00355847"/>
    <w:rsid w:val="003630A5"/>
    <w:rsid w:val="00380066"/>
    <w:rsid w:val="003810E4"/>
    <w:rsid w:val="0038524D"/>
    <w:rsid w:val="003921A3"/>
    <w:rsid w:val="00392C34"/>
    <w:rsid w:val="00396529"/>
    <w:rsid w:val="003A418A"/>
    <w:rsid w:val="003B0CB1"/>
    <w:rsid w:val="003C7975"/>
    <w:rsid w:val="003D0AC1"/>
    <w:rsid w:val="003D7E72"/>
    <w:rsid w:val="003E4BFF"/>
    <w:rsid w:val="00400C79"/>
    <w:rsid w:val="004114D5"/>
    <w:rsid w:val="00456BF0"/>
    <w:rsid w:val="00460766"/>
    <w:rsid w:val="00475887"/>
    <w:rsid w:val="004802A8"/>
    <w:rsid w:val="00484F5A"/>
    <w:rsid w:val="004A428C"/>
    <w:rsid w:val="004B412D"/>
    <w:rsid w:val="004C71DA"/>
    <w:rsid w:val="004D787B"/>
    <w:rsid w:val="004D7AB6"/>
    <w:rsid w:val="004E3020"/>
    <w:rsid w:val="004F11D6"/>
    <w:rsid w:val="004F596F"/>
    <w:rsid w:val="00501A9F"/>
    <w:rsid w:val="005042B5"/>
    <w:rsid w:val="00505840"/>
    <w:rsid w:val="005119A7"/>
    <w:rsid w:val="0051329C"/>
    <w:rsid w:val="00525045"/>
    <w:rsid w:val="00534DBB"/>
    <w:rsid w:val="00535A88"/>
    <w:rsid w:val="00540709"/>
    <w:rsid w:val="00542746"/>
    <w:rsid w:val="00542904"/>
    <w:rsid w:val="00544659"/>
    <w:rsid w:val="0054734F"/>
    <w:rsid w:val="00572721"/>
    <w:rsid w:val="00593CDE"/>
    <w:rsid w:val="005B1C38"/>
    <w:rsid w:val="005B2359"/>
    <w:rsid w:val="005B4549"/>
    <w:rsid w:val="005D0AEB"/>
    <w:rsid w:val="005D329A"/>
    <w:rsid w:val="005E062F"/>
    <w:rsid w:val="005E0D16"/>
    <w:rsid w:val="005F2E1D"/>
    <w:rsid w:val="005F2F1D"/>
    <w:rsid w:val="005F77A4"/>
    <w:rsid w:val="0060172E"/>
    <w:rsid w:val="00622062"/>
    <w:rsid w:val="00651289"/>
    <w:rsid w:val="00665B92"/>
    <w:rsid w:val="00665C7E"/>
    <w:rsid w:val="006902D6"/>
    <w:rsid w:val="00693099"/>
    <w:rsid w:val="00695F9A"/>
    <w:rsid w:val="006B2806"/>
    <w:rsid w:val="006C3822"/>
    <w:rsid w:val="006E2554"/>
    <w:rsid w:val="006E273B"/>
    <w:rsid w:val="006E3913"/>
    <w:rsid w:val="006F3AA9"/>
    <w:rsid w:val="006F5537"/>
    <w:rsid w:val="006F70B9"/>
    <w:rsid w:val="00704D74"/>
    <w:rsid w:val="00707E9E"/>
    <w:rsid w:val="00710034"/>
    <w:rsid w:val="007235B5"/>
    <w:rsid w:val="007319C5"/>
    <w:rsid w:val="0073206A"/>
    <w:rsid w:val="007457A8"/>
    <w:rsid w:val="00753632"/>
    <w:rsid w:val="00757C5D"/>
    <w:rsid w:val="00761EE4"/>
    <w:rsid w:val="007623DD"/>
    <w:rsid w:val="00773A46"/>
    <w:rsid w:val="00783531"/>
    <w:rsid w:val="00786D3E"/>
    <w:rsid w:val="007B2D45"/>
    <w:rsid w:val="007C5C4F"/>
    <w:rsid w:val="007D2092"/>
    <w:rsid w:val="007D6605"/>
    <w:rsid w:val="007E5989"/>
    <w:rsid w:val="00806F60"/>
    <w:rsid w:val="00816D3C"/>
    <w:rsid w:val="008217A1"/>
    <w:rsid w:val="00824006"/>
    <w:rsid w:val="00830449"/>
    <w:rsid w:val="008317A4"/>
    <w:rsid w:val="008521F5"/>
    <w:rsid w:val="00880D6B"/>
    <w:rsid w:val="00881CB4"/>
    <w:rsid w:val="008908CD"/>
    <w:rsid w:val="0089109F"/>
    <w:rsid w:val="00891A54"/>
    <w:rsid w:val="00892B4A"/>
    <w:rsid w:val="008A3A3E"/>
    <w:rsid w:val="008A6E5B"/>
    <w:rsid w:val="008B0046"/>
    <w:rsid w:val="008C0334"/>
    <w:rsid w:val="008C5D33"/>
    <w:rsid w:val="008D1F10"/>
    <w:rsid w:val="008E1A85"/>
    <w:rsid w:val="0090399E"/>
    <w:rsid w:val="009076FE"/>
    <w:rsid w:val="00935810"/>
    <w:rsid w:val="00945B1C"/>
    <w:rsid w:val="00960A43"/>
    <w:rsid w:val="00960AB9"/>
    <w:rsid w:val="009633A7"/>
    <w:rsid w:val="009655CE"/>
    <w:rsid w:val="009763CF"/>
    <w:rsid w:val="00984C31"/>
    <w:rsid w:val="00987366"/>
    <w:rsid w:val="00991110"/>
    <w:rsid w:val="00993E20"/>
    <w:rsid w:val="009A40A5"/>
    <w:rsid w:val="009B3237"/>
    <w:rsid w:val="009B7266"/>
    <w:rsid w:val="009D70D8"/>
    <w:rsid w:val="009E21B8"/>
    <w:rsid w:val="009F1CA7"/>
    <w:rsid w:val="009F3FB8"/>
    <w:rsid w:val="00A0546F"/>
    <w:rsid w:val="00A06A66"/>
    <w:rsid w:val="00A126FD"/>
    <w:rsid w:val="00A14A8D"/>
    <w:rsid w:val="00A159DE"/>
    <w:rsid w:val="00A1603A"/>
    <w:rsid w:val="00A23E08"/>
    <w:rsid w:val="00A31751"/>
    <w:rsid w:val="00A37A31"/>
    <w:rsid w:val="00A42135"/>
    <w:rsid w:val="00A627C7"/>
    <w:rsid w:val="00A65F67"/>
    <w:rsid w:val="00A7391D"/>
    <w:rsid w:val="00A74F6C"/>
    <w:rsid w:val="00A752CF"/>
    <w:rsid w:val="00A75D7A"/>
    <w:rsid w:val="00A80592"/>
    <w:rsid w:val="00AE2BAF"/>
    <w:rsid w:val="00AF5BC1"/>
    <w:rsid w:val="00AF62EB"/>
    <w:rsid w:val="00B11B5F"/>
    <w:rsid w:val="00B43B23"/>
    <w:rsid w:val="00B447EF"/>
    <w:rsid w:val="00B50B3B"/>
    <w:rsid w:val="00B55AD7"/>
    <w:rsid w:val="00B610D0"/>
    <w:rsid w:val="00B76C06"/>
    <w:rsid w:val="00B81CFA"/>
    <w:rsid w:val="00B90229"/>
    <w:rsid w:val="00B91E7F"/>
    <w:rsid w:val="00B94779"/>
    <w:rsid w:val="00BA5F6C"/>
    <w:rsid w:val="00BA6807"/>
    <w:rsid w:val="00BB5DCA"/>
    <w:rsid w:val="00BB7650"/>
    <w:rsid w:val="00BB7ED7"/>
    <w:rsid w:val="00BD4480"/>
    <w:rsid w:val="00BD6852"/>
    <w:rsid w:val="00BD7F63"/>
    <w:rsid w:val="00BE75C7"/>
    <w:rsid w:val="00C32DDF"/>
    <w:rsid w:val="00C3635A"/>
    <w:rsid w:val="00C44F52"/>
    <w:rsid w:val="00C71922"/>
    <w:rsid w:val="00C7730B"/>
    <w:rsid w:val="00C84BD6"/>
    <w:rsid w:val="00C856DC"/>
    <w:rsid w:val="00C86CE9"/>
    <w:rsid w:val="00CB3773"/>
    <w:rsid w:val="00CC0421"/>
    <w:rsid w:val="00CC5EB7"/>
    <w:rsid w:val="00CC6113"/>
    <w:rsid w:val="00CD1722"/>
    <w:rsid w:val="00CD649F"/>
    <w:rsid w:val="00CE1547"/>
    <w:rsid w:val="00D0639F"/>
    <w:rsid w:val="00D13761"/>
    <w:rsid w:val="00D150D4"/>
    <w:rsid w:val="00D22F90"/>
    <w:rsid w:val="00D23FB1"/>
    <w:rsid w:val="00D24453"/>
    <w:rsid w:val="00D458F6"/>
    <w:rsid w:val="00D47283"/>
    <w:rsid w:val="00D556D9"/>
    <w:rsid w:val="00D56341"/>
    <w:rsid w:val="00D72796"/>
    <w:rsid w:val="00D81647"/>
    <w:rsid w:val="00D83ADF"/>
    <w:rsid w:val="00D93066"/>
    <w:rsid w:val="00DA4E11"/>
    <w:rsid w:val="00DA7472"/>
    <w:rsid w:val="00DB04D1"/>
    <w:rsid w:val="00DD1BEF"/>
    <w:rsid w:val="00DD22CB"/>
    <w:rsid w:val="00DE29AD"/>
    <w:rsid w:val="00DE6B94"/>
    <w:rsid w:val="00DF0781"/>
    <w:rsid w:val="00DF17C6"/>
    <w:rsid w:val="00E020DD"/>
    <w:rsid w:val="00E0446E"/>
    <w:rsid w:val="00E07A6C"/>
    <w:rsid w:val="00E102F0"/>
    <w:rsid w:val="00E2476B"/>
    <w:rsid w:val="00E279F0"/>
    <w:rsid w:val="00E44914"/>
    <w:rsid w:val="00E4520B"/>
    <w:rsid w:val="00E97ACC"/>
    <w:rsid w:val="00EA1903"/>
    <w:rsid w:val="00EA4BAA"/>
    <w:rsid w:val="00EB113B"/>
    <w:rsid w:val="00EB31DF"/>
    <w:rsid w:val="00EC33E3"/>
    <w:rsid w:val="00EC3445"/>
    <w:rsid w:val="00ED7830"/>
    <w:rsid w:val="00EE595F"/>
    <w:rsid w:val="00EF1AA9"/>
    <w:rsid w:val="00EF385A"/>
    <w:rsid w:val="00EF5D81"/>
    <w:rsid w:val="00EF659E"/>
    <w:rsid w:val="00F22B45"/>
    <w:rsid w:val="00F3046D"/>
    <w:rsid w:val="00F4131D"/>
    <w:rsid w:val="00F65296"/>
    <w:rsid w:val="00F664FF"/>
    <w:rsid w:val="00F742E3"/>
    <w:rsid w:val="00F87434"/>
    <w:rsid w:val="00F9587A"/>
    <w:rsid w:val="00FA4D27"/>
    <w:rsid w:val="00FC5F96"/>
    <w:rsid w:val="00FD20CD"/>
    <w:rsid w:val="00FD2ABB"/>
    <w:rsid w:val="00FE3C0A"/>
    <w:rsid w:val="00FE6517"/>
    <w:rsid w:val="00FE7063"/>
    <w:rsid w:val="00FF7CE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6EFB6"/>
  <w15:chartTrackingRefBased/>
  <w15:docId w15:val="{0422B5EB-FF5A-4D31-BA54-03E1FA6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2062"/>
    <w:pPr>
      <w:widowControl w:val="0"/>
    </w:pPr>
    <w:rPr>
      <w:rFonts w:ascii="Book Antiqua" w:eastAsia="Times New Roman" w:hAnsi="Book Antiqua"/>
      <w:spacing w:val="2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62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622062"/>
    <w:rPr>
      <w:rFonts w:ascii="Tahoma" w:eastAsia="Times New Roman" w:hAnsi="Tahoma" w:cs="Tahoma"/>
      <w:spacing w:val="2"/>
      <w:sz w:val="16"/>
      <w:szCs w:val="16"/>
    </w:rPr>
  </w:style>
  <w:style w:type="character" w:styleId="Hyperlink">
    <w:name w:val="Hyperlink"/>
    <w:uiPriority w:val="99"/>
    <w:unhideWhenUsed/>
    <w:rsid w:val="00B91E7F"/>
    <w:rPr>
      <w:rFonts w:ascii="Verdana" w:hAnsi="Verdana" w:hint="default"/>
      <w:i w:val="0"/>
      <w:iCs w:val="0"/>
      <w:smallCaps w:val="0"/>
      <w:color w:val="000000"/>
      <w:sz w:val="17"/>
      <w:szCs w:val="17"/>
      <w:u w:val="single"/>
    </w:rPr>
  </w:style>
  <w:style w:type="character" w:customStyle="1" w:styleId="apple-style-span">
    <w:name w:val="apple-style-span"/>
    <w:basedOn w:val="Standaardalinea-lettertype"/>
    <w:rsid w:val="00B91E7F"/>
  </w:style>
  <w:style w:type="character" w:styleId="Verwijzingopmerking">
    <w:name w:val="annotation reference"/>
    <w:uiPriority w:val="99"/>
    <w:semiHidden/>
    <w:unhideWhenUsed/>
    <w:rsid w:val="00A317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751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A31751"/>
    <w:rPr>
      <w:rFonts w:ascii="Book Antiqua" w:eastAsia="Times New Roman" w:hAnsi="Book Antiqua"/>
      <w:spacing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75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31751"/>
    <w:rPr>
      <w:rFonts w:ascii="Book Antiqua" w:eastAsia="Times New Roman" w:hAnsi="Book Antiqua"/>
      <w:b/>
      <w:bCs/>
      <w:spacing w:val="2"/>
      <w:lang w:eastAsia="en-US"/>
    </w:rPr>
  </w:style>
  <w:style w:type="paragraph" w:styleId="Revisie">
    <w:name w:val="Revision"/>
    <w:hidden/>
    <w:uiPriority w:val="99"/>
    <w:semiHidden/>
    <w:rsid w:val="00A31751"/>
    <w:rPr>
      <w:rFonts w:ascii="Book Antiqua" w:eastAsia="Times New Roman" w:hAnsi="Book Antiqua"/>
      <w:spacing w:val="2"/>
      <w:sz w:val="24"/>
      <w:lang w:eastAsia="en-US"/>
    </w:rPr>
  </w:style>
  <w:style w:type="paragraph" w:styleId="Normaalweb">
    <w:name w:val="Normal (Web)"/>
    <w:basedOn w:val="Standaard"/>
    <w:uiPriority w:val="99"/>
    <w:unhideWhenUsed/>
    <w:rsid w:val="00535A88"/>
    <w:pPr>
      <w:widowControl/>
      <w:spacing w:before="100" w:beforeAutospacing="1" w:after="100" w:afterAutospacing="1"/>
    </w:pPr>
    <w:rPr>
      <w:rFonts w:ascii="Times New Roman" w:hAnsi="Times New Roman"/>
      <w:spacing w:val="0"/>
      <w:szCs w:val="24"/>
      <w:lang w:eastAsia="nl-NL"/>
    </w:rPr>
  </w:style>
  <w:style w:type="paragraph" w:styleId="Geenafstand">
    <w:name w:val="No Spacing"/>
    <w:uiPriority w:val="1"/>
    <w:qFormat/>
    <w:rsid w:val="007235B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3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11666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6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383">
                          <w:marLeft w:val="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8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6939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mhui\AppData\Local\Packages\Microsoft.MicrosoftEdge_8wekyb3d8bbwe\TempState\Downloads\Map1%20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mhui\AppData\Local\Packages\Microsoft.MicrosoftEdge_8wekyb3d8bbwe\TempState\Downloads\MarketSight%20Crosstab%20-%20Crosstab%201%20(7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Op</a:t>
            </a:r>
            <a:r>
              <a:rPr lang="nl-NL" baseline="0"/>
              <a:t> vakantie met lease auto:</a:t>
            </a: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9B0-4AC8-A3C2-B5DE189C6FD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9B0-4AC8-A3C2-B5DE189C6FD4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B0-4AC8-A3C2-B5DE189C6F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'[Map1 (1).xlsx]Blad2'!$B$9:$F$9</c:f>
              <c:strCache>
                <c:ptCount val="5"/>
                <c:pt idx="0">
                  <c:v>Volledig elektrisch</c:v>
                </c:pt>
                <c:pt idx="1">
                  <c:v>Hybride</c:v>
                </c:pt>
                <c:pt idx="2">
                  <c:v>Benzine</c:v>
                </c:pt>
                <c:pt idx="3">
                  <c:v>Diesel</c:v>
                </c:pt>
                <c:pt idx="4">
                  <c:v>Gemiddeld</c:v>
                </c:pt>
              </c:strCache>
            </c:strRef>
          </c:cat>
          <c:val>
            <c:numRef>
              <c:f>'[Map1 (1).xlsx]Blad2'!$B$11:$F$11</c:f>
              <c:numCache>
                <c:formatCode>##,##0%</c:formatCode>
                <c:ptCount val="5"/>
                <c:pt idx="0">
                  <c:v>0.269230769230769</c:v>
                </c:pt>
                <c:pt idx="1">
                  <c:v>0.64</c:v>
                </c:pt>
                <c:pt idx="2">
                  <c:v>0.65147453083109896</c:v>
                </c:pt>
                <c:pt idx="3">
                  <c:v>0.72953736654804302</c:v>
                </c:pt>
                <c:pt idx="4" formatCode="##,##0.0%">
                  <c:v>0.67791215786123504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B0-4AC8-A3C2-B5DE189C6F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3985136"/>
        <c:axId val="4439867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nl-N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'[Map1 (1).xlsx]Blad2'!$B$9:$F$9</c15:sqref>
                        </c15:formulaRef>
                      </c:ext>
                    </c:extLst>
                    <c:strCache>
                      <c:ptCount val="5"/>
                      <c:pt idx="0">
                        <c:v>Volledig elektrisch</c:v>
                      </c:pt>
                      <c:pt idx="1">
                        <c:v>Hybride</c:v>
                      </c:pt>
                      <c:pt idx="2">
                        <c:v>Benzine</c:v>
                      </c:pt>
                      <c:pt idx="3">
                        <c:v>Diesel</c:v>
                      </c:pt>
                      <c:pt idx="4">
                        <c:v>Gemiddeld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'[Map1 (1).xlsx]Blad2'!$B$10:$F$10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B9B0-4AC8-A3C2-B5DE189C6FD4}"/>
                  </c:ext>
                </c:extLst>
              </c15:ser>
            </c15:filteredBarSeries>
          </c:ext>
        </c:extLst>
      </c:barChart>
      <c:catAx>
        <c:axId val="44398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43986776"/>
        <c:crosses val="autoZero"/>
        <c:auto val="1"/>
        <c:lblAlgn val="ctr"/>
        <c:lblOffset val="100"/>
        <c:noMultiLvlLbl val="0"/>
      </c:catAx>
      <c:valAx>
        <c:axId val="443986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,##0%" sourceLinked="1"/>
        <c:majorTickMark val="none"/>
        <c:minorTickMark val="none"/>
        <c:tickLblPos val="nextTo"/>
        <c:spPr>
          <a:solidFill>
            <a:schemeClr val="bg1"/>
          </a:solidFill>
          <a:ln>
            <a:solidFill>
              <a:schemeClr val="bg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43985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nl-N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Is er een tweede auto in het gezin aanwezig?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'[MarketSight Crosstab - Crosstab 1 (7) (1).xlsx]Blad1'!$A$8</c:f>
              <c:strCache>
                <c:ptCount val="1"/>
                <c:pt idx="0">
                  <c:v>Nee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'[MarketSight Crosstab - Crosstab 1 (7) (1).xlsx]Blad1'!$B$5:$C$5</c:f>
              <c:strCache>
                <c:ptCount val="2"/>
                <c:pt idx="0">
                  <c:v>Gemiddeld</c:v>
                </c:pt>
                <c:pt idx="1">
                  <c:v>Volledig elektrisch</c:v>
                </c:pt>
              </c:strCache>
            </c:strRef>
          </c:cat>
          <c:val>
            <c:numRef>
              <c:f>'[MarketSight Crosstab - Crosstab 1 (7) (1).xlsx]Blad1'!$B$8:$C$8</c:f>
              <c:numCache>
                <c:formatCode>0%</c:formatCode>
                <c:ptCount val="2"/>
                <c:pt idx="0">
                  <c:v>0.24</c:v>
                </c:pt>
                <c:pt idx="1">
                  <c:v>0.18867924528301899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D0-4FB8-9558-4DCB8570CBD9}"/>
            </c:ext>
          </c:extLst>
        </c:ser>
        <c:ser>
          <c:idx val="0"/>
          <c:order val="1"/>
          <c:tx>
            <c:strRef>
              <c:f>'[MarketSight Crosstab - Crosstab 1 (7) (1).xlsx]Blad1'!$A$7</c:f>
              <c:strCache>
                <c:ptCount val="1"/>
                <c:pt idx="0">
                  <c:v>Ja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N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'[MarketSight Crosstab - Crosstab 1 (7) (1).xlsx]Blad1'!$B$5:$C$5</c:f>
              <c:strCache>
                <c:ptCount val="2"/>
                <c:pt idx="0">
                  <c:v>Gemiddeld</c:v>
                </c:pt>
                <c:pt idx="1">
                  <c:v>Volledig elektrisch</c:v>
                </c:pt>
              </c:strCache>
            </c:strRef>
          </c:cat>
          <c:val>
            <c:numRef>
              <c:f>'[MarketSight Crosstab - Crosstab 1 (7) (1).xlsx]Blad1'!$B$7:$C$7</c:f>
              <c:numCache>
                <c:formatCode>0%</c:formatCode>
                <c:ptCount val="2"/>
                <c:pt idx="0">
                  <c:v>0.76</c:v>
                </c:pt>
                <c:pt idx="1">
                  <c:v>0.81132075471698095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D0-4FB8-9558-4DCB8570C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7005448"/>
        <c:axId val="507005120"/>
      </c:barChart>
      <c:catAx>
        <c:axId val="50700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7005120"/>
        <c:crosses val="autoZero"/>
        <c:auto val="1"/>
        <c:lblAlgn val="ctr"/>
        <c:lblOffset val="100"/>
        <c:noMultiLvlLbl val="0"/>
      </c:catAx>
      <c:valAx>
        <c:axId val="507005120"/>
        <c:scaling>
          <c:orientation val="minMax"/>
          <c:max val="1"/>
        </c:scaling>
        <c:delete val="1"/>
        <c:axPos val="l"/>
        <c:numFmt formatCode="0%" sourceLinked="1"/>
        <c:majorTickMark val="none"/>
        <c:minorTickMark val="none"/>
        <c:tickLblPos val="nextTo"/>
        <c:crossAx val="507005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DCFB8B78D048A9C1C8CAF2F1DF1C" ma:contentTypeVersion="2" ma:contentTypeDescription="Een nieuw document maken." ma:contentTypeScope="" ma:versionID="3a675119adc52022d25ed60e2bc099ef">
  <xsd:schema xmlns:xsd="http://www.w3.org/2001/XMLSchema" xmlns:xs="http://www.w3.org/2001/XMLSchema" xmlns:p="http://schemas.microsoft.com/office/2006/metadata/properties" xmlns:ns2="272ceec4-a01f-4371-97a4-6d2501dd5943" targetNamespace="http://schemas.microsoft.com/office/2006/metadata/properties" ma:root="true" ma:fieldsID="cf7b7eba8056771e12568abb04d9fc3f" ns2:_="">
    <xsd:import namespace="272ceec4-a01f-4371-97a4-6d2501dd5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eec4-a01f-4371-97a4-6d2501dd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CB45-50C1-4F14-AE33-43AFDB3F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ceec4-a01f-4371-97a4-6d2501dd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B86B8-DF05-4212-9FA5-7321D30F4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69DFC-3C75-460F-9F40-8B78E4156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452498-262F-4C18-A53F-5CE1455E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Johnson Factory</cp:lastModifiedBy>
  <cp:revision>6</cp:revision>
  <cp:lastPrinted>2018-07-26T09:39:00Z</cp:lastPrinted>
  <dcterms:created xsi:type="dcterms:W3CDTF">2018-07-26T09:36:00Z</dcterms:created>
  <dcterms:modified xsi:type="dcterms:W3CDTF">2018-07-30T11:47:00Z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0x010100CAD3DCFB8B78D048A9C1C8CAF2F1DF1C</vt:lpwstr>
  </property>
</Properties>
</file>